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8F272" w14:textId="77777777" w:rsidR="00C143D3" w:rsidRPr="00856D2B" w:rsidRDefault="00C143D3" w:rsidP="00BA4F74">
      <w:pPr>
        <w:spacing w:line="240" w:lineRule="auto"/>
      </w:pPr>
    </w:p>
    <w:p w14:paraId="0E09CD1E" w14:textId="77777777" w:rsidR="00C143D3" w:rsidRPr="00856D2B" w:rsidRDefault="00C143D3" w:rsidP="00BA4F74">
      <w:pPr>
        <w:spacing w:line="240" w:lineRule="auto"/>
      </w:pPr>
    </w:p>
    <w:tbl>
      <w:tblPr>
        <w:tblStyle w:val="Tablaconcuadrcula"/>
        <w:tblpPr w:leftFromText="181" w:rightFromText="181" w:vertAnchor="page" w:horzAnchor="margin" w:tblpY="8390"/>
        <w:tblW w:w="9015" w:type="dxa"/>
        <w:tblBorders>
          <w:top w:val="none" w:sz="0" w:space="0" w:color="auto"/>
          <w:left w:val="none" w:sz="0" w:space="0" w:color="auto"/>
          <w:bottom w:val="none" w:sz="0" w:space="0" w:color="auto"/>
          <w:right w:val="none" w:sz="0" w:space="0" w:color="auto"/>
          <w:insideH w:val="single" w:sz="2" w:space="0" w:color="D9D9D9" w:themeColor="background1" w:themeShade="D9"/>
          <w:insideV w:val="single" w:sz="4" w:space="0" w:color="BFBFBF" w:themeColor="background1" w:themeShade="BF"/>
        </w:tblBorders>
        <w:tblCellMar>
          <w:left w:w="0" w:type="dxa"/>
          <w:right w:w="0" w:type="dxa"/>
        </w:tblCellMar>
        <w:tblLook w:val="04A0" w:firstRow="1" w:lastRow="0" w:firstColumn="1" w:lastColumn="0" w:noHBand="0" w:noVBand="1"/>
      </w:tblPr>
      <w:tblGrid>
        <w:gridCol w:w="9015"/>
      </w:tblGrid>
      <w:tr w:rsidR="00C143D3" w:rsidRPr="00C143D3" w14:paraId="54618105" w14:textId="77777777" w:rsidTr="00A45891">
        <w:trPr>
          <w:trHeight w:val="2493"/>
        </w:trPr>
        <w:tc>
          <w:tcPr>
            <w:tcW w:w="9015" w:type="dxa"/>
            <w:tcBorders>
              <w:top w:val="nil"/>
              <w:bottom w:val="single" w:sz="2" w:space="0" w:color="D9D9D9" w:themeColor="background1" w:themeShade="D9"/>
            </w:tcBorders>
            <w:vAlign w:val="center"/>
          </w:tcPr>
          <w:p w14:paraId="34E51B9F" w14:textId="129032CA" w:rsidR="007735BE" w:rsidRDefault="00181F8F">
            <w:pPr>
              <w:pStyle w:val="Ttulopropuesta"/>
              <w:jc w:val="left"/>
            </w:pPr>
            <w:r>
              <w:rPr>
                <w:b/>
                <w:color w:val="3D3D3D"/>
                <w:sz w:val="32"/>
              </w:rPr>
              <w:t>Estudio de movilidad educativa ciclista en Bizkaia</w:t>
              <w:br/>
              <w:t>Metodología, modelo de prioridad territorial y visor GIS</w:t>
            </w:r>
          </w:p>
        </w:tc>
      </w:tr>
      <w:tr w:rsidR="00C143D3" w:rsidRPr="00C143D3" w14:paraId="727D7B56" w14:textId="77777777" w:rsidTr="00A45891">
        <w:trPr>
          <w:trHeight w:val="503"/>
        </w:trPr>
        <w:tc>
          <w:tcPr>
            <w:tcW w:w="9015" w:type="dxa"/>
            <w:tcBorders>
              <w:top w:val="single" w:sz="2" w:space="0" w:color="D9D9D9" w:themeColor="background1" w:themeShade="D9"/>
              <w:bottom w:val="single" w:sz="2" w:space="0" w:color="D9D9D9" w:themeColor="background1" w:themeShade="D9"/>
            </w:tcBorders>
            <w:vAlign w:val="center"/>
          </w:tcPr>
          <w:p w14:paraId="3B9F89FD" w14:textId="77777777" w:rsidR="007735BE" w:rsidRDefault="006272B0">
            <w:r>
              <w:rPr>
                <w:b w:val="0"/>
                <w:color w:val="3D3D3D"/>
                <w:sz w:val="18"/>
              </w:rPr>
              <w:t>Septiembre 2026</w:t>
            </w:r>
          </w:p>
        </w:tc>
      </w:tr>
    </w:tbl>
    <w:p w14:paraId="52F17692" w14:textId="77777777" w:rsidR="00C143D3" w:rsidRDefault="00C143D3" w:rsidP="00BA4F74">
      <w:pPr>
        <w:spacing w:line="240" w:lineRule="auto"/>
      </w:pPr>
    </w:p>
    <w:p w14:paraId="145EA146" w14:textId="77777777" w:rsidR="002C4BF9" w:rsidRDefault="002C4BF9" w:rsidP="00BA4F74">
      <w:pPr>
        <w:spacing w:line="240" w:lineRule="auto"/>
      </w:pPr>
    </w:p>
    <w:p w14:paraId="0D5DB2EE" w14:textId="77777777" w:rsidR="002C4BF9" w:rsidRDefault="002C4BF9" w:rsidP="00BA4F74">
      <w:pPr>
        <w:spacing w:line="240" w:lineRule="auto"/>
      </w:pPr>
    </w:p>
    <w:p w14:paraId="5EA60649" w14:textId="77777777" w:rsidR="002C4BF9" w:rsidRDefault="002C4BF9" w:rsidP="00BA4F74">
      <w:pPr>
        <w:spacing w:line="240" w:lineRule="auto"/>
      </w:pPr>
    </w:p>
    <w:p w14:paraId="224C16B5" w14:textId="77777777" w:rsidR="002C4BF9" w:rsidRDefault="002C4BF9" w:rsidP="00BA4F74">
      <w:pPr>
        <w:spacing w:line="240" w:lineRule="auto"/>
      </w:pPr>
    </w:p>
    <w:p w14:paraId="5C0FDEB7" w14:textId="77777777" w:rsidR="002C4BF9" w:rsidRDefault="002C4BF9" w:rsidP="00BA4F74">
      <w:pPr>
        <w:spacing w:line="240" w:lineRule="auto"/>
      </w:pPr>
    </w:p>
    <w:p w14:paraId="67DFFED3" w14:textId="77777777" w:rsidR="002C4BF9" w:rsidRDefault="002C4BF9" w:rsidP="00BA4F74">
      <w:pPr>
        <w:spacing w:line="240" w:lineRule="auto"/>
      </w:pPr>
    </w:p>
    <w:p w14:paraId="173FD785" w14:textId="77777777" w:rsidR="002C4BF9" w:rsidRDefault="002C4BF9" w:rsidP="00BA4F74">
      <w:pPr>
        <w:spacing w:line="240" w:lineRule="auto"/>
      </w:pPr>
    </w:p>
    <w:p w14:paraId="073BCE41" w14:textId="77777777" w:rsidR="002C4BF9" w:rsidRDefault="002C4BF9" w:rsidP="00BA4F74">
      <w:pPr>
        <w:spacing w:line="240" w:lineRule="auto"/>
      </w:pPr>
    </w:p>
    <w:p w14:paraId="1C644B4A" w14:textId="77777777" w:rsidR="002C4BF9" w:rsidRDefault="002C4BF9" w:rsidP="00BA4F74">
      <w:pPr>
        <w:spacing w:line="240" w:lineRule="auto"/>
      </w:pPr>
    </w:p>
    <w:p w14:paraId="4EA907C9" w14:textId="77777777" w:rsidR="002C4BF9" w:rsidRDefault="002C4BF9" w:rsidP="00BA4F74">
      <w:pPr>
        <w:spacing w:line="240" w:lineRule="auto"/>
      </w:pPr>
    </w:p>
    <w:p w14:paraId="459C82CF" w14:textId="77777777" w:rsidR="002C4BF9" w:rsidRDefault="002C4BF9" w:rsidP="00BA4F74">
      <w:pPr>
        <w:spacing w:line="240" w:lineRule="auto"/>
      </w:pPr>
    </w:p>
    <w:p w14:paraId="20532268" w14:textId="77777777" w:rsidR="002C4BF9" w:rsidRDefault="002C4BF9" w:rsidP="00BA4F74">
      <w:pPr>
        <w:spacing w:line="240" w:lineRule="auto"/>
      </w:pPr>
    </w:p>
    <w:p w14:paraId="305BB624" w14:textId="77777777" w:rsidR="002C4BF9" w:rsidRDefault="002C4BF9" w:rsidP="00BA4F74">
      <w:pPr>
        <w:spacing w:line="240" w:lineRule="auto"/>
      </w:pPr>
    </w:p>
    <w:p w14:paraId="49674C0F" w14:textId="77777777" w:rsidR="002C4BF9" w:rsidRDefault="002C4BF9" w:rsidP="00BA4F74">
      <w:pPr>
        <w:spacing w:line="240" w:lineRule="auto"/>
      </w:pPr>
    </w:p>
    <w:p w14:paraId="1ADDB225" w14:textId="77777777" w:rsidR="002C4BF9" w:rsidRDefault="002C4BF9" w:rsidP="00BA4F74">
      <w:pPr>
        <w:spacing w:line="240" w:lineRule="auto"/>
      </w:pPr>
    </w:p>
    <w:p w14:paraId="4607EEFC" w14:textId="77777777" w:rsidR="002C4BF9" w:rsidRDefault="002C4BF9" w:rsidP="00BA4F74">
      <w:pPr>
        <w:spacing w:line="240" w:lineRule="auto"/>
      </w:pPr>
    </w:p>
    <w:p w14:paraId="39682691" w14:textId="77777777" w:rsidR="002C4BF9" w:rsidRDefault="002C4BF9" w:rsidP="00BA4F74">
      <w:pPr>
        <w:spacing w:line="240" w:lineRule="auto"/>
      </w:pPr>
    </w:p>
    <w:p w14:paraId="6B9C6D87" w14:textId="77777777" w:rsidR="002C4BF9" w:rsidRDefault="002C4BF9" w:rsidP="00BA4F74">
      <w:pPr>
        <w:spacing w:line="240" w:lineRule="auto"/>
      </w:pPr>
    </w:p>
    <w:p w14:paraId="6B22C09D" w14:textId="77777777" w:rsidR="002C4BF9" w:rsidRDefault="002C4BF9" w:rsidP="00BA4F74">
      <w:pPr>
        <w:spacing w:line="240" w:lineRule="auto"/>
      </w:pPr>
    </w:p>
    <w:p w14:paraId="2F442885" w14:textId="77777777" w:rsidR="002C4BF9" w:rsidRDefault="002C4BF9" w:rsidP="00BA4F74">
      <w:pPr>
        <w:spacing w:line="240" w:lineRule="auto"/>
      </w:pPr>
    </w:p>
    <w:p w14:paraId="64D335EE" w14:textId="77777777" w:rsidR="002C4BF9" w:rsidRDefault="002C4BF9" w:rsidP="00BA4F74">
      <w:pPr>
        <w:spacing w:line="240" w:lineRule="auto"/>
      </w:pPr>
    </w:p>
    <w:p w14:paraId="15C8CD78" w14:textId="77777777" w:rsidR="002C4BF9" w:rsidRDefault="002C4BF9" w:rsidP="00BA4F74">
      <w:pPr>
        <w:spacing w:line="240" w:lineRule="auto"/>
      </w:pPr>
    </w:p>
    <w:p w14:paraId="537F3E8C" w14:textId="77777777" w:rsidR="002C4BF9" w:rsidRDefault="002C4BF9" w:rsidP="00BA4F74">
      <w:pPr>
        <w:spacing w:line="240" w:lineRule="auto"/>
      </w:pPr>
    </w:p>
    <w:p w14:paraId="538F656A" w14:textId="77777777" w:rsidR="002C4BF9" w:rsidRDefault="002C4BF9" w:rsidP="00BA4F74">
      <w:pPr>
        <w:spacing w:line="240" w:lineRule="auto"/>
      </w:pPr>
    </w:p>
    <w:p w14:paraId="3F326435" w14:textId="77777777" w:rsidR="002C4BF9" w:rsidRDefault="002C4BF9" w:rsidP="00BA4F74">
      <w:pPr>
        <w:spacing w:line="240" w:lineRule="auto"/>
      </w:pPr>
    </w:p>
    <w:p w14:paraId="0B3B10C9" w14:textId="77777777" w:rsidR="002C4BF9" w:rsidRDefault="002C4BF9" w:rsidP="00BA4F74">
      <w:pPr>
        <w:spacing w:line="240" w:lineRule="auto"/>
      </w:pPr>
    </w:p>
    <w:p w14:paraId="73FFA617" w14:textId="77777777" w:rsidR="002C4BF9" w:rsidRDefault="002C4BF9" w:rsidP="00BA4F74">
      <w:pPr>
        <w:spacing w:line="240" w:lineRule="auto"/>
      </w:pPr>
    </w:p>
    <w:p w14:paraId="3193AD9A" w14:textId="77777777" w:rsidR="002C4BF9" w:rsidRDefault="002C4BF9" w:rsidP="00BA4F74">
      <w:pPr>
        <w:spacing w:line="240" w:lineRule="auto"/>
      </w:pPr>
    </w:p>
    <w:p w14:paraId="0977C058" w14:textId="77777777" w:rsidR="002C4BF9" w:rsidRDefault="002C4BF9" w:rsidP="00BA4F74">
      <w:pPr>
        <w:spacing w:line="240" w:lineRule="auto"/>
      </w:pPr>
    </w:p>
    <w:p w14:paraId="521AA9D0" w14:textId="77777777" w:rsidR="002C4BF9" w:rsidRPr="002C4BF9" w:rsidRDefault="002C4BF9" w:rsidP="002C4BF9">
      <w:pPr>
        <w:pBdr>
          <w:top w:val="single" w:sz="4" w:space="1" w:color="auto"/>
          <w:left w:val="single" w:sz="4" w:space="4" w:color="auto"/>
          <w:bottom w:val="single" w:sz="4" w:space="1" w:color="auto"/>
          <w:right w:val="single" w:sz="4" w:space="4" w:color="auto"/>
        </w:pBdr>
        <w:spacing w:line="240" w:lineRule="auto"/>
        <w:rPr>
          <w:b/>
          <w:bCs/>
          <w:sz w:val="20"/>
          <w:szCs w:val="20"/>
        </w:rPr>
      </w:pPr>
      <w:r>
        <w:rPr>
          <w:b/>
          <w:color w:val="3D3D3D"/>
          <w:sz w:val="20"/>
        </w:rPr>
        <w:t>Aviso de confidencialidad</w:t>
      </w:r>
    </w:p>
    <w:p w14:paraId="63F17317" w14:textId="77777777" w:rsidR="002C4BF9" w:rsidRPr="00CC7D3B" w:rsidRDefault="002C4BF9" w:rsidP="002C4BF9">
      <w:pPr>
        <w:pBdr>
          <w:top w:val="single" w:sz="4" w:space="1" w:color="auto"/>
          <w:left w:val="single" w:sz="4" w:space="4" w:color="auto"/>
          <w:bottom w:val="single" w:sz="4" w:space="1" w:color="auto"/>
          <w:right w:val="single" w:sz="4" w:space="4" w:color="auto"/>
        </w:pBdr>
        <w:spacing w:line="240" w:lineRule="auto"/>
        <w:rPr>
          <w:sz w:val="18"/>
          <w:szCs w:val="18"/>
        </w:rPr>
      </w:pPr>
      <w:r>
        <w:rPr>
          <w:b w:val="0"/>
          <w:color w:val="3D3D3D"/>
          <w:sz w:val="16"/>
        </w:rPr>
        <w:t>La información contenida en este informe, incluidos sus anexos, cartografía, bases de datos y documentos adjuntos, es confidencial y se ha elaborado exclusivamente para la evaluación del proyecto de movilidad educativa ciclista en Bizkaia. La documentación incorpora análisis técnico, datos espaciales y criterios metodológicos desarrollados por Ingartek. Queda prohibida su reproducción, divulgación o uso total o parcial sin la autorización previa y por escrito de Ingartek, salvo obligación legal aplicable.</w:t>
      </w:r>
    </w:p>
    <w:p w14:paraId="40D93417" w14:textId="77777777" w:rsidR="002C4BF9" w:rsidRDefault="002C4BF9" w:rsidP="00BA4F74">
      <w:pPr>
        <w:spacing w:line="240" w:lineRule="auto"/>
      </w:pPr>
    </w:p>
    <w:p w14:paraId="67B01E0F" w14:textId="77777777" w:rsidR="002C4BF9" w:rsidRDefault="002C4BF9" w:rsidP="00BA4F74">
      <w:pPr>
        <w:spacing w:line="240" w:lineRule="auto"/>
      </w:pPr>
    </w:p>
    <w:p w14:paraId="6A7E1F21" w14:textId="77777777" w:rsidR="002C4BF9" w:rsidRPr="00856D2B" w:rsidRDefault="002C4BF9" w:rsidP="00BA4F74">
      <w:pPr>
        <w:spacing w:line="240" w:lineRule="auto"/>
        <w:sectPr w:rsidR="002C4BF9" w:rsidRPr="00856D2B" w:rsidSect="00D873E9">
          <w:footerReference w:type="even" r:id="rId11"/>
          <w:footerReference w:type="default" r:id="rId12"/>
          <w:headerReference w:type="first" r:id="rId13"/>
          <w:headerReference w:type="default" r:id="rId25"/>
          <w:type w:val="continuous"/>
          <w:pgSz w:w="11906" w:h="16838"/>
          <w:pgMar w:top="907" w:right="1191" w:bottom="879" w:left="1191" w:header="709" w:footer="0" w:gutter="0"/>
          <w:cols w:space="708"/>
          <w:titlePg/>
          <w:docGrid w:linePitch="360"/>
        </w:sectPr>
      </w:pPr>
    </w:p>
    <w:p>
      <w:r>
        <w:br w:type="page"/>
      </w:r>
    </w:p>
    <w:p>
      <w:pPr>
        <w:spacing w:after="240"/>
      </w:pPr>
      <w:r>
        <w:rPr>
          <w:b/>
          <w:color w:val="3D3D3D"/>
          <w:sz w:val="30"/>
        </w:rPr>
        <w:t>Índice</w:t>
      </w:r>
    </w:p>
    <w:tbl>
      <w:tblPr>
        <w:tblW w:type="auto" w:w="0"/>
        <w:jc w:val="center"/>
        <w:tblLook w:firstColumn="1" w:firstRow="1" w:lastColumn="0" w:lastRow="0" w:noHBand="0" w:noVBand="1" w:val="04A0"/>
      </w:tblPr>
      <w:tblGrid>
        <w:gridCol w:w="3326"/>
        <w:gridCol w:w="3326"/>
        <w:gridCol w:w="3326"/>
      </w:tblGrid>
      <w:tr>
        <w:tc>
          <w:tcPr>
            <w:tcW w:type="dxa" w:w="567"/>
            <w:vAlign w:val="center"/>
            <w:tcBorders>
              <w:top w:val="nil"/>
              <w:left w:val="nil"/>
              <w:bottom w:val="nil"/>
              <w:right w:val="nil"/>
              <w:insideH w:val="nil"/>
              <w:insideV w:val="nil"/>
            </w:tcBorders>
          </w:tcPr>
          <w:p>
            <w:r>
              <w:rPr>
                <w:b/>
                <w:color w:val="9B2D30"/>
                <w:sz w:val="17"/>
              </w:rPr>
              <w:t>1</w:t>
            </w:r>
          </w:p>
        </w:tc>
        <w:tc>
          <w:tcPr>
            <w:tcW w:type="dxa" w:w="7483"/>
            <w:vAlign w:val="center"/>
            <w:tcBorders>
              <w:top w:val="nil"/>
              <w:left w:val="nil"/>
              <w:bottom w:val="nil"/>
              <w:right w:val="nil"/>
              <w:insideH w:val="nil"/>
              <w:insideV w:val="nil"/>
            </w:tcBorders>
          </w:tcPr>
          <w:p>
            <w:r>
              <w:rPr>
                <w:b/>
                <w:color w:val="9B2D30"/>
                <w:sz w:val="17"/>
              </w:rPr>
              <w:t>Antecedentes y objetivos</w:t>
            </w:r>
          </w:p>
        </w:tc>
        <w:tc>
          <w:tcPr>
            <w:tcW w:type="dxa" w:w="794"/>
            <w:vAlign w:val="center"/>
            <w:tcBorders>
              <w:top w:val="nil"/>
              <w:left w:val="nil"/>
              <w:bottom w:val="nil"/>
              <w:right w:val="nil"/>
              <w:insideH w:val="nil"/>
              <w:insideV w:val="nil"/>
            </w:tcBorders>
          </w:tcPr>
          <w:p>
            <w:pPr>
              <w:jc w:val="right"/>
            </w:pPr>
            <w:r>
              <w:rPr>
                <w:b/>
                <w:color w:val="9B2D30"/>
                <w:sz w:val="17"/>
              </w:rPr>
              <w:t>4</w:t>
            </w:r>
          </w:p>
        </w:tc>
      </w:tr>
      <w:tr>
        <w:tc>
          <w:tcPr>
            <w:tcW w:type="dxa" w:w="567"/>
            <w:vAlign w:val="center"/>
            <w:tcBorders>
              <w:top w:val="nil"/>
              <w:left w:val="nil"/>
              <w:bottom w:val="nil"/>
              <w:right w:val="nil"/>
              <w:insideH w:val="nil"/>
              <w:insideV w:val="nil"/>
            </w:tcBorders>
          </w:tcPr>
          <w:p>
            <w:r>
              <w:rPr>
                <w:b/>
                <w:color w:val="9B2D30"/>
                <w:sz w:val="17"/>
              </w:rPr>
              <w:t>2</w:t>
            </w:r>
          </w:p>
        </w:tc>
        <w:tc>
          <w:tcPr>
            <w:tcW w:type="dxa" w:w="7483"/>
            <w:vAlign w:val="center"/>
            <w:tcBorders>
              <w:top w:val="nil"/>
              <w:left w:val="nil"/>
              <w:bottom w:val="nil"/>
              <w:right w:val="nil"/>
              <w:insideH w:val="nil"/>
              <w:insideV w:val="nil"/>
            </w:tcBorders>
          </w:tcPr>
          <w:p>
            <w:r>
              <w:rPr>
                <w:b/>
                <w:color w:val="9B2D30"/>
                <w:sz w:val="17"/>
              </w:rPr>
              <w:t>Alcance, universo y entregables</w:t>
            </w:r>
          </w:p>
        </w:tc>
        <w:tc>
          <w:tcPr>
            <w:tcW w:type="dxa" w:w="794"/>
            <w:vAlign w:val="center"/>
            <w:tcBorders>
              <w:top w:val="nil"/>
              <w:left w:val="nil"/>
              <w:bottom w:val="nil"/>
              <w:right w:val="nil"/>
              <w:insideH w:val="nil"/>
              <w:insideV w:val="nil"/>
            </w:tcBorders>
          </w:tcPr>
          <w:p>
            <w:pPr>
              <w:jc w:val="right"/>
            </w:pPr>
            <w:r>
              <w:rPr>
                <w:b/>
                <w:color w:val="9B2D30"/>
                <w:sz w:val="17"/>
              </w:rPr>
              <w:t>5</w:t>
            </w:r>
          </w:p>
        </w:tc>
      </w:tr>
      <w:tr>
        <w:tc>
          <w:tcPr>
            <w:tcW w:type="dxa" w:w="567"/>
            <w:vAlign w:val="center"/>
            <w:tcBorders>
              <w:top w:val="nil"/>
              <w:left w:val="nil"/>
              <w:bottom w:val="nil"/>
              <w:right w:val="nil"/>
              <w:insideH w:val="nil"/>
              <w:insideV w:val="nil"/>
            </w:tcBorders>
          </w:tcPr>
          <w:p>
            <w:r>
              <w:rPr>
                <w:b w:val="0"/>
                <w:color w:val="3D3D3D"/>
                <w:sz w:val="17"/>
              </w:rPr>
              <w:t>2.1</w:t>
            </w:r>
          </w:p>
        </w:tc>
        <w:tc>
          <w:tcPr>
            <w:tcW w:type="dxa" w:w="7483"/>
            <w:vAlign w:val="center"/>
            <w:tcBorders>
              <w:top w:val="nil"/>
              <w:left w:val="nil"/>
              <w:bottom w:val="nil"/>
              <w:right w:val="nil"/>
              <w:insideH w:val="nil"/>
              <w:insideV w:val="nil"/>
            </w:tcBorders>
          </w:tcPr>
          <w:p>
            <w:r>
              <w:rPr>
                <w:b w:val="0"/>
                <w:color w:val="3D3D3D"/>
                <w:sz w:val="17"/>
              </w:rPr>
              <w:t xml:space="preserve">    Finalidad y límites de interpretación</w:t>
            </w:r>
          </w:p>
        </w:tc>
        <w:tc>
          <w:tcPr>
            <w:tcW w:type="dxa" w:w="794"/>
            <w:vAlign w:val="center"/>
            <w:tcBorders>
              <w:top w:val="nil"/>
              <w:left w:val="nil"/>
              <w:bottom w:val="nil"/>
              <w:right w:val="nil"/>
              <w:insideH w:val="nil"/>
              <w:insideV w:val="nil"/>
            </w:tcBorders>
          </w:tcPr>
          <w:p>
            <w:pPr>
              <w:jc w:val="right"/>
            </w:pPr>
            <w:r>
              <w:rPr>
                <w:b w:val="0"/>
                <w:color w:val="3D3D3D"/>
                <w:sz w:val="17"/>
              </w:rPr>
              <w:t>5</w:t>
            </w:r>
          </w:p>
        </w:tc>
      </w:tr>
      <w:tr>
        <w:tc>
          <w:tcPr>
            <w:tcW w:type="dxa" w:w="567"/>
            <w:vAlign w:val="center"/>
            <w:tcBorders>
              <w:top w:val="nil"/>
              <w:left w:val="nil"/>
              <w:bottom w:val="nil"/>
              <w:right w:val="nil"/>
              <w:insideH w:val="nil"/>
              <w:insideV w:val="nil"/>
            </w:tcBorders>
          </w:tcPr>
          <w:p>
            <w:r>
              <w:rPr>
                <w:b w:val="0"/>
                <w:color w:val="3D3D3D"/>
                <w:sz w:val="17"/>
              </w:rPr>
              <w:t>2.2</w:t>
            </w:r>
          </w:p>
        </w:tc>
        <w:tc>
          <w:tcPr>
            <w:tcW w:type="dxa" w:w="7483"/>
            <w:vAlign w:val="center"/>
            <w:tcBorders>
              <w:top w:val="nil"/>
              <w:left w:val="nil"/>
              <w:bottom w:val="nil"/>
              <w:right w:val="nil"/>
              <w:insideH w:val="nil"/>
              <w:insideV w:val="nil"/>
            </w:tcBorders>
          </w:tcPr>
          <w:p>
            <w:r>
              <w:rPr>
                <w:b w:val="0"/>
                <w:color w:val="3D3D3D"/>
                <w:sz w:val="17"/>
              </w:rPr>
              <w:t xml:space="preserve">    Universo de análisis y tipologías</w:t>
            </w:r>
          </w:p>
        </w:tc>
        <w:tc>
          <w:tcPr>
            <w:tcW w:type="dxa" w:w="794"/>
            <w:vAlign w:val="center"/>
            <w:tcBorders>
              <w:top w:val="nil"/>
              <w:left w:val="nil"/>
              <w:bottom w:val="nil"/>
              <w:right w:val="nil"/>
              <w:insideH w:val="nil"/>
              <w:insideV w:val="nil"/>
            </w:tcBorders>
          </w:tcPr>
          <w:p>
            <w:pPr>
              <w:jc w:val="right"/>
            </w:pPr>
            <w:r>
              <w:rPr>
                <w:b w:val="0"/>
                <w:color w:val="3D3D3D"/>
                <w:sz w:val="17"/>
              </w:rPr>
              <w:t>6</w:t>
            </w:r>
          </w:p>
        </w:tc>
      </w:tr>
      <w:tr>
        <w:tc>
          <w:tcPr>
            <w:tcW w:type="dxa" w:w="567"/>
            <w:vAlign w:val="center"/>
            <w:tcBorders>
              <w:top w:val="nil"/>
              <w:left w:val="nil"/>
              <w:bottom w:val="nil"/>
              <w:right w:val="nil"/>
              <w:insideH w:val="nil"/>
              <w:insideV w:val="nil"/>
            </w:tcBorders>
          </w:tcPr>
          <w:p>
            <w:r>
              <w:rPr>
                <w:b w:val="0"/>
                <w:color w:val="3D3D3D"/>
                <w:sz w:val="17"/>
              </w:rPr>
              <w:t>2.3</w:t>
            </w:r>
          </w:p>
        </w:tc>
        <w:tc>
          <w:tcPr>
            <w:tcW w:type="dxa" w:w="7483"/>
            <w:vAlign w:val="center"/>
            <w:tcBorders>
              <w:top w:val="nil"/>
              <w:left w:val="nil"/>
              <w:bottom w:val="nil"/>
              <w:right w:val="nil"/>
              <w:insideH w:val="nil"/>
              <w:insideV w:val="nil"/>
            </w:tcBorders>
          </w:tcPr>
          <w:p>
            <w:r>
              <w:rPr>
                <w:b w:val="0"/>
                <w:color w:val="3D3D3D"/>
                <w:sz w:val="17"/>
              </w:rPr>
              <w:t xml:space="preserve">    Entregables y uso del visor</w:t>
            </w:r>
          </w:p>
        </w:tc>
        <w:tc>
          <w:tcPr>
            <w:tcW w:type="dxa" w:w="794"/>
            <w:vAlign w:val="center"/>
            <w:tcBorders>
              <w:top w:val="nil"/>
              <w:left w:val="nil"/>
              <w:bottom w:val="nil"/>
              <w:right w:val="nil"/>
              <w:insideH w:val="nil"/>
              <w:insideV w:val="nil"/>
            </w:tcBorders>
          </w:tcPr>
          <w:p>
            <w:pPr>
              <w:jc w:val="right"/>
            </w:pPr>
            <w:r>
              <w:rPr>
                <w:b w:val="0"/>
                <w:color w:val="3D3D3D"/>
                <w:sz w:val="17"/>
              </w:rPr>
              <w:t>7</w:t>
            </w:r>
          </w:p>
        </w:tc>
      </w:tr>
      <w:tr>
        <w:tc>
          <w:tcPr>
            <w:tcW w:type="dxa" w:w="567"/>
            <w:vAlign w:val="center"/>
            <w:tcBorders>
              <w:top w:val="nil"/>
              <w:left w:val="nil"/>
              <w:bottom w:val="nil"/>
              <w:right w:val="nil"/>
              <w:insideH w:val="nil"/>
              <w:insideV w:val="nil"/>
            </w:tcBorders>
          </w:tcPr>
          <w:p>
            <w:r>
              <w:rPr>
                <w:b/>
                <w:color w:val="9B2D30"/>
                <w:sz w:val="17"/>
              </w:rPr>
              <w:t>3</w:t>
            </w:r>
          </w:p>
        </w:tc>
        <w:tc>
          <w:tcPr>
            <w:tcW w:type="dxa" w:w="7483"/>
            <w:vAlign w:val="center"/>
            <w:tcBorders>
              <w:top w:val="nil"/>
              <w:left w:val="nil"/>
              <w:bottom w:val="nil"/>
              <w:right w:val="nil"/>
              <w:insideH w:val="nil"/>
              <w:insideV w:val="nil"/>
            </w:tcBorders>
          </w:tcPr>
          <w:p>
            <w:r>
              <w:rPr>
                <w:b/>
                <w:color w:val="9B2D30"/>
                <w:sz w:val="17"/>
              </w:rPr>
              <w:t>Modelo de datos y metodología</w:t>
            </w:r>
          </w:p>
        </w:tc>
        <w:tc>
          <w:tcPr>
            <w:tcW w:type="dxa" w:w="794"/>
            <w:vAlign w:val="center"/>
            <w:tcBorders>
              <w:top w:val="nil"/>
              <w:left w:val="nil"/>
              <w:bottom w:val="nil"/>
              <w:right w:val="nil"/>
              <w:insideH w:val="nil"/>
              <w:insideV w:val="nil"/>
            </w:tcBorders>
          </w:tcPr>
          <w:p>
            <w:pPr>
              <w:jc w:val="right"/>
            </w:pPr>
            <w:r>
              <w:rPr>
                <w:b/>
                <w:color w:val="9B2D30"/>
                <w:sz w:val="17"/>
              </w:rPr>
              <w:t>8</w:t>
            </w:r>
          </w:p>
        </w:tc>
      </w:tr>
      <w:tr>
        <w:tc>
          <w:tcPr>
            <w:tcW w:type="dxa" w:w="567"/>
            <w:vAlign w:val="center"/>
            <w:tcBorders>
              <w:top w:val="nil"/>
              <w:left w:val="nil"/>
              <w:bottom w:val="nil"/>
              <w:right w:val="nil"/>
              <w:insideH w:val="nil"/>
              <w:insideV w:val="nil"/>
            </w:tcBorders>
          </w:tcPr>
          <w:p>
            <w:r>
              <w:rPr>
                <w:b w:val="0"/>
                <w:color w:val="3D3D3D"/>
                <w:sz w:val="17"/>
              </w:rPr>
              <w:t>3.1</w:t>
            </w:r>
          </w:p>
        </w:tc>
        <w:tc>
          <w:tcPr>
            <w:tcW w:type="dxa" w:w="7483"/>
            <w:vAlign w:val="center"/>
            <w:tcBorders>
              <w:top w:val="nil"/>
              <w:left w:val="nil"/>
              <w:bottom w:val="nil"/>
              <w:right w:val="nil"/>
              <w:insideH w:val="nil"/>
              <w:insideV w:val="nil"/>
            </w:tcBorders>
          </w:tcPr>
          <w:p>
            <w:r>
              <w:rPr>
                <w:b w:val="0"/>
                <w:color w:val="3D3D3D"/>
                <w:sz w:val="17"/>
              </w:rPr>
              <w:t xml:space="preserve">    Fuentes, preparación y trazabilidad de la evidencia</w:t>
            </w:r>
          </w:p>
        </w:tc>
        <w:tc>
          <w:tcPr>
            <w:tcW w:type="dxa" w:w="794"/>
            <w:vAlign w:val="center"/>
            <w:tcBorders>
              <w:top w:val="nil"/>
              <w:left w:val="nil"/>
              <w:bottom w:val="nil"/>
              <w:right w:val="nil"/>
              <w:insideH w:val="nil"/>
              <w:insideV w:val="nil"/>
            </w:tcBorders>
          </w:tcPr>
          <w:p>
            <w:pPr>
              <w:jc w:val="right"/>
            </w:pPr>
            <w:r>
              <w:rPr>
                <w:b w:val="0"/>
                <w:color w:val="3D3D3D"/>
                <w:sz w:val="17"/>
              </w:rPr>
              <w:t>8</w:t>
            </w:r>
          </w:p>
        </w:tc>
      </w:tr>
      <w:tr>
        <w:tc>
          <w:tcPr>
            <w:tcW w:type="dxa" w:w="567"/>
            <w:vAlign w:val="center"/>
            <w:tcBorders>
              <w:top w:val="nil"/>
              <w:left w:val="nil"/>
              <w:bottom w:val="nil"/>
              <w:right w:val="nil"/>
              <w:insideH w:val="nil"/>
              <w:insideV w:val="nil"/>
            </w:tcBorders>
          </w:tcPr>
          <w:p>
            <w:r>
              <w:rPr>
                <w:b w:val="0"/>
                <w:color w:val="3D3D3D"/>
                <w:sz w:val="17"/>
              </w:rPr>
              <w:t>3.2</w:t>
            </w:r>
          </w:p>
        </w:tc>
        <w:tc>
          <w:tcPr>
            <w:tcW w:type="dxa" w:w="7483"/>
            <w:vAlign w:val="center"/>
            <w:tcBorders>
              <w:top w:val="nil"/>
              <w:left w:val="nil"/>
              <w:bottom w:val="nil"/>
              <w:right w:val="nil"/>
              <w:insideH w:val="nil"/>
              <w:insideV w:val="nil"/>
            </w:tcBorders>
          </w:tcPr>
          <w:p>
            <w:r>
              <w:rPr>
                <w:b w:val="0"/>
                <w:color w:val="3D3D3D"/>
                <w:sz w:val="17"/>
              </w:rPr>
              <w:t xml:space="preserve">    Demanda y alumnado matriculado</w:t>
            </w:r>
          </w:p>
        </w:tc>
        <w:tc>
          <w:tcPr>
            <w:tcW w:type="dxa" w:w="794"/>
            <w:vAlign w:val="center"/>
            <w:tcBorders>
              <w:top w:val="nil"/>
              <w:left w:val="nil"/>
              <w:bottom w:val="nil"/>
              <w:right w:val="nil"/>
              <w:insideH w:val="nil"/>
              <w:insideV w:val="nil"/>
            </w:tcBorders>
          </w:tcPr>
          <w:p>
            <w:pPr>
              <w:jc w:val="right"/>
            </w:pPr>
            <w:r>
              <w:rPr>
                <w:b w:val="0"/>
                <w:color w:val="3D3D3D"/>
                <w:sz w:val="17"/>
              </w:rPr>
              <w:t>10</w:t>
            </w:r>
          </w:p>
        </w:tc>
      </w:tr>
      <w:tr>
        <w:tc>
          <w:tcPr>
            <w:tcW w:type="dxa" w:w="567"/>
            <w:vAlign w:val="center"/>
            <w:tcBorders>
              <w:top w:val="nil"/>
              <w:left w:val="nil"/>
              <w:bottom w:val="nil"/>
              <w:right w:val="nil"/>
              <w:insideH w:val="nil"/>
              <w:insideV w:val="nil"/>
            </w:tcBorders>
          </w:tcPr>
          <w:p>
            <w:r>
              <w:rPr>
                <w:b w:val="0"/>
                <w:color w:val="3D3D3D"/>
                <w:sz w:val="17"/>
              </w:rPr>
              <w:t>3.3</w:t>
            </w:r>
          </w:p>
        </w:tc>
        <w:tc>
          <w:tcPr>
            <w:tcW w:type="dxa" w:w="7483"/>
            <w:vAlign w:val="center"/>
            <w:tcBorders>
              <w:top w:val="nil"/>
              <w:left w:val="nil"/>
              <w:bottom w:val="nil"/>
              <w:right w:val="nil"/>
              <w:insideH w:val="nil"/>
              <w:insideV w:val="nil"/>
            </w:tcBorders>
          </w:tcPr>
          <w:p>
            <w:r>
              <w:rPr>
                <w:b w:val="0"/>
                <w:color w:val="3D3D3D"/>
                <w:sz w:val="17"/>
              </w:rPr>
              <w:t xml:space="preserve">    Conectividad e infraestructura ciclista</w:t>
            </w:r>
          </w:p>
        </w:tc>
        <w:tc>
          <w:tcPr>
            <w:tcW w:type="dxa" w:w="794"/>
            <w:vAlign w:val="center"/>
            <w:tcBorders>
              <w:top w:val="nil"/>
              <w:left w:val="nil"/>
              <w:bottom w:val="nil"/>
              <w:right w:val="nil"/>
              <w:insideH w:val="nil"/>
              <w:insideV w:val="nil"/>
            </w:tcBorders>
          </w:tcPr>
          <w:p>
            <w:pPr>
              <w:jc w:val="right"/>
            </w:pPr>
            <w:r>
              <w:rPr>
                <w:b w:val="0"/>
                <w:color w:val="3D3D3D"/>
                <w:sz w:val="17"/>
              </w:rPr>
              <w:t>11</w:t>
            </w:r>
          </w:p>
        </w:tc>
      </w:tr>
      <w:tr>
        <w:tc>
          <w:tcPr>
            <w:tcW w:type="dxa" w:w="567"/>
            <w:vAlign w:val="center"/>
            <w:tcBorders>
              <w:top w:val="nil"/>
              <w:left w:val="nil"/>
              <w:bottom w:val="nil"/>
              <w:right w:val="nil"/>
              <w:insideH w:val="nil"/>
              <w:insideV w:val="nil"/>
            </w:tcBorders>
          </w:tcPr>
          <w:p>
            <w:r>
              <w:rPr>
                <w:b w:val="0"/>
                <w:color w:val="3D3D3D"/>
                <w:sz w:val="17"/>
              </w:rPr>
              <w:t>3.4</w:t>
            </w:r>
          </w:p>
        </w:tc>
        <w:tc>
          <w:tcPr>
            <w:tcW w:type="dxa" w:w="7483"/>
            <w:vAlign w:val="center"/>
            <w:tcBorders>
              <w:top w:val="nil"/>
              <w:left w:val="nil"/>
              <w:bottom w:val="nil"/>
              <w:right w:val="nil"/>
              <w:insideH w:val="nil"/>
              <w:insideV w:val="nil"/>
            </w:tcBorders>
          </w:tcPr>
          <w:p>
            <w:r>
              <w:rPr>
                <w:b w:val="0"/>
                <w:color w:val="3D3D3D"/>
                <w:sz w:val="17"/>
              </w:rPr>
              <w:t xml:space="preserve">    Capilaridad urbana y rutas de baja intensidad</w:t>
            </w:r>
          </w:p>
        </w:tc>
        <w:tc>
          <w:tcPr>
            <w:tcW w:type="dxa" w:w="794"/>
            <w:vAlign w:val="center"/>
            <w:tcBorders>
              <w:top w:val="nil"/>
              <w:left w:val="nil"/>
              <w:bottom w:val="nil"/>
              <w:right w:val="nil"/>
              <w:insideH w:val="nil"/>
              <w:insideV w:val="nil"/>
            </w:tcBorders>
          </w:tcPr>
          <w:p>
            <w:pPr>
              <w:jc w:val="right"/>
            </w:pPr>
            <w:r>
              <w:rPr>
                <w:b w:val="0"/>
                <w:color w:val="3D3D3D"/>
                <w:sz w:val="17"/>
              </w:rPr>
              <w:t>12</w:t>
            </w:r>
          </w:p>
        </w:tc>
      </w:tr>
      <w:tr>
        <w:tc>
          <w:tcPr>
            <w:tcW w:type="dxa" w:w="567"/>
            <w:vAlign w:val="center"/>
            <w:tcBorders>
              <w:top w:val="nil"/>
              <w:left w:val="nil"/>
              <w:bottom w:val="nil"/>
              <w:right w:val="nil"/>
              <w:insideH w:val="nil"/>
              <w:insideV w:val="nil"/>
            </w:tcBorders>
          </w:tcPr>
          <w:p>
            <w:r>
              <w:rPr>
                <w:b w:val="0"/>
                <w:color w:val="3D3D3D"/>
                <w:sz w:val="17"/>
              </w:rPr>
              <w:t>3.5</w:t>
            </w:r>
          </w:p>
        </w:tc>
        <w:tc>
          <w:tcPr>
            <w:tcW w:type="dxa" w:w="7483"/>
            <w:vAlign w:val="center"/>
            <w:tcBorders>
              <w:top w:val="nil"/>
              <w:left w:val="nil"/>
              <w:bottom w:val="nil"/>
              <w:right w:val="nil"/>
              <w:insideH w:val="nil"/>
              <w:insideV w:val="nil"/>
            </w:tcBorders>
          </w:tcPr>
          <w:p>
            <w:r>
              <w:rPr>
                <w:b w:val="0"/>
                <w:color w:val="3D3D3D"/>
                <w:sz w:val="17"/>
              </w:rPr>
              <w:t xml:space="preserve">    Seguridad vial e IMD de los aforos</w:t>
            </w:r>
          </w:p>
        </w:tc>
        <w:tc>
          <w:tcPr>
            <w:tcW w:type="dxa" w:w="794"/>
            <w:vAlign w:val="center"/>
            <w:tcBorders>
              <w:top w:val="nil"/>
              <w:left w:val="nil"/>
              <w:bottom w:val="nil"/>
              <w:right w:val="nil"/>
              <w:insideH w:val="nil"/>
              <w:insideV w:val="nil"/>
            </w:tcBorders>
          </w:tcPr>
          <w:p>
            <w:pPr>
              <w:jc w:val="right"/>
            </w:pPr>
            <w:r>
              <w:rPr>
                <w:b w:val="0"/>
                <w:color w:val="3D3D3D"/>
                <w:sz w:val="17"/>
              </w:rPr>
              <w:t>13</w:t>
            </w:r>
          </w:p>
        </w:tc>
      </w:tr>
      <w:tr>
        <w:tc>
          <w:tcPr>
            <w:tcW w:type="dxa" w:w="567"/>
            <w:vAlign w:val="center"/>
            <w:tcBorders>
              <w:top w:val="nil"/>
              <w:left w:val="nil"/>
              <w:bottom w:val="nil"/>
              <w:right w:val="nil"/>
              <w:insideH w:val="nil"/>
              <w:insideV w:val="nil"/>
            </w:tcBorders>
          </w:tcPr>
          <w:p>
            <w:r>
              <w:rPr>
                <w:b w:val="0"/>
                <w:color w:val="3D3D3D"/>
                <w:sz w:val="17"/>
              </w:rPr>
              <w:t>3.6</w:t>
            </w:r>
          </w:p>
        </w:tc>
        <w:tc>
          <w:tcPr>
            <w:tcW w:type="dxa" w:w="7483"/>
            <w:vAlign w:val="center"/>
            <w:tcBorders>
              <w:top w:val="nil"/>
              <w:left w:val="nil"/>
              <w:bottom w:val="nil"/>
              <w:right w:val="nil"/>
              <w:insideH w:val="nil"/>
              <w:insideV w:val="nil"/>
            </w:tcBorders>
          </w:tcPr>
          <w:p>
            <w:r>
              <w:rPr>
                <w:b w:val="0"/>
                <w:color w:val="3D3D3D"/>
                <w:sz w:val="17"/>
              </w:rPr>
              <w:t xml:space="preserve">    Pendiente, transporte público y bici pública</w:t>
            </w:r>
          </w:p>
        </w:tc>
        <w:tc>
          <w:tcPr>
            <w:tcW w:type="dxa" w:w="794"/>
            <w:vAlign w:val="center"/>
            <w:tcBorders>
              <w:top w:val="nil"/>
              <w:left w:val="nil"/>
              <w:bottom w:val="nil"/>
              <w:right w:val="nil"/>
              <w:insideH w:val="nil"/>
              <w:insideV w:val="nil"/>
            </w:tcBorders>
          </w:tcPr>
          <w:p>
            <w:pPr>
              <w:jc w:val="right"/>
            </w:pPr>
            <w:r>
              <w:rPr>
                <w:b w:val="0"/>
                <w:color w:val="3D3D3D"/>
                <w:sz w:val="17"/>
              </w:rPr>
              <w:t>14</w:t>
            </w:r>
          </w:p>
        </w:tc>
      </w:tr>
      <w:tr>
        <w:tc>
          <w:tcPr>
            <w:tcW w:type="dxa" w:w="567"/>
            <w:vAlign w:val="center"/>
            <w:tcBorders>
              <w:top w:val="nil"/>
              <w:left w:val="nil"/>
              <w:bottom w:val="nil"/>
              <w:right w:val="nil"/>
              <w:insideH w:val="nil"/>
              <w:insideV w:val="nil"/>
            </w:tcBorders>
          </w:tcPr>
          <w:p>
            <w:r>
              <w:rPr>
                <w:b/>
                <w:color w:val="9B2D30"/>
                <w:sz w:val="17"/>
              </w:rPr>
              <w:t>4</w:t>
            </w:r>
          </w:p>
        </w:tc>
        <w:tc>
          <w:tcPr>
            <w:tcW w:type="dxa" w:w="7483"/>
            <w:vAlign w:val="center"/>
            <w:tcBorders>
              <w:top w:val="nil"/>
              <w:left w:val="nil"/>
              <w:bottom w:val="nil"/>
              <w:right w:val="nil"/>
              <w:insideH w:val="nil"/>
              <w:insideV w:val="nil"/>
            </w:tcBorders>
          </w:tcPr>
          <w:p>
            <w:r>
              <w:rPr>
                <w:b/>
                <w:color w:val="9B2D30"/>
                <w:sz w:val="17"/>
              </w:rPr>
              <w:t>Isócronas, cartografía y datos descargables</w:t>
            </w:r>
          </w:p>
        </w:tc>
        <w:tc>
          <w:tcPr>
            <w:tcW w:type="dxa" w:w="794"/>
            <w:vAlign w:val="center"/>
            <w:tcBorders>
              <w:top w:val="nil"/>
              <w:left w:val="nil"/>
              <w:bottom w:val="nil"/>
              <w:right w:val="nil"/>
              <w:insideH w:val="nil"/>
              <w:insideV w:val="nil"/>
            </w:tcBorders>
          </w:tcPr>
          <w:p>
            <w:pPr>
              <w:jc w:val="right"/>
            </w:pPr>
            <w:r>
              <w:rPr>
                <w:b/>
                <w:color w:val="9B2D30"/>
                <w:sz w:val="17"/>
              </w:rPr>
              <w:t>15</w:t>
            </w:r>
          </w:p>
        </w:tc>
      </w:tr>
      <w:tr>
        <w:tc>
          <w:tcPr>
            <w:tcW w:type="dxa" w:w="567"/>
            <w:vAlign w:val="center"/>
            <w:tcBorders>
              <w:top w:val="nil"/>
              <w:left w:val="nil"/>
              <w:bottom w:val="nil"/>
              <w:right w:val="nil"/>
              <w:insideH w:val="nil"/>
              <w:insideV w:val="nil"/>
            </w:tcBorders>
          </w:tcPr>
          <w:p>
            <w:r>
              <w:rPr>
                <w:b/>
                <w:color w:val="9B2D30"/>
                <w:sz w:val="17"/>
              </w:rPr>
              <w:t>5</w:t>
            </w:r>
          </w:p>
        </w:tc>
        <w:tc>
          <w:tcPr>
            <w:tcW w:type="dxa" w:w="7483"/>
            <w:vAlign w:val="center"/>
            <w:tcBorders>
              <w:top w:val="nil"/>
              <w:left w:val="nil"/>
              <w:bottom w:val="nil"/>
              <w:right w:val="nil"/>
              <w:insideH w:val="nil"/>
              <w:insideV w:val="nil"/>
            </w:tcBorders>
          </w:tcPr>
          <w:p>
            <w:r>
              <w:rPr>
                <w:b/>
                <w:color w:val="9B2D30"/>
                <w:sz w:val="17"/>
              </w:rPr>
              <w:t>Modelo de prioridad y configuración de pesos</w:t>
            </w:r>
          </w:p>
        </w:tc>
        <w:tc>
          <w:tcPr>
            <w:tcW w:type="dxa" w:w="794"/>
            <w:vAlign w:val="center"/>
            <w:tcBorders>
              <w:top w:val="nil"/>
              <w:left w:val="nil"/>
              <w:bottom w:val="nil"/>
              <w:right w:val="nil"/>
              <w:insideH w:val="nil"/>
              <w:insideV w:val="nil"/>
            </w:tcBorders>
          </w:tcPr>
          <w:p>
            <w:pPr>
              <w:jc w:val="right"/>
            </w:pPr>
            <w:r>
              <w:rPr>
                <w:b/>
                <w:color w:val="9B2D30"/>
                <w:sz w:val="17"/>
              </w:rPr>
              <w:t>17</w:t>
            </w:r>
          </w:p>
        </w:tc>
      </w:tr>
      <w:tr>
        <w:tc>
          <w:tcPr>
            <w:tcW w:type="dxa" w:w="567"/>
            <w:vAlign w:val="center"/>
            <w:tcBorders>
              <w:top w:val="nil"/>
              <w:left w:val="nil"/>
              <w:bottom w:val="nil"/>
              <w:right w:val="nil"/>
              <w:insideH w:val="nil"/>
              <w:insideV w:val="nil"/>
            </w:tcBorders>
          </w:tcPr>
          <w:p>
            <w:r>
              <w:rPr>
                <w:b/>
                <w:color w:val="9B2D30"/>
                <w:sz w:val="17"/>
              </w:rPr>
              <w:t>6</w:t>
            </w:r>
          </w:p>
        </w:tc>
        <w:tc>
          <w:tcPr>
            <w:tcW w:type="dxa" w:w="7483"/>
            <w:vAlign w:val="center"/>
            <w:tcBorders>
              <w:top w:val="nil"/>
              <w:left w:val="nil"/>
              <w:bottom w:val="nil"/>
              <w:right w:val="nil"/>
              <w:insideH w:val="nil"/>
              <w:insideV w:val="nil"/>
            </w:tcBorders>
          </w:tcPr>
          <w:p>
            <w:r>
              <w:rPr>
                <w:b/>
                <w:color w:val="9B2D30"/>
                <w:sz w:val="17"/>
              </w:rPr>
              <w:t>Resultados, límites y validación de campo</w:t>
            </w:r>
          </w:p>
        </w:tc>
        <w:tc>
          <w:tcPr>
            <w:tcW w:type="dxa" w:w="794"/>
            <w:vAlign w:val="center"/>
            <w:tcBorders>
              <w:top w:val="nil"/>
              <w:left w:val="nil"/>
              <w:bottom w:val="nil"/>
              <w:right w:val="nil"/>
              <w:insideH w:val="nil"/>
              <w:insideV w:val="nil"/>
            </w:tcBorders>
          </w:tcPr>
          <w:p>
            <w:pPr>
              <w:jc w:val="right"/>
            </w:pPr>
            <w:r>
              <w:rPr>
                <w:b/>
                <w:color w:val="9B2D30"/>
                <w:sz w:val="17"/>
              </w:rPr>
              <w:t>19</w:t>
            </w:r>
          </w:p>
        </w:tc>
      </w:tr>
      <w:tr>
        <w:tc>
          <w:tcPr>
            <w:tcW w:type="dxa" w:w="567"/>
            <w:vAlign w:val="center"/>
            <w:tcBorders>
              <w:top w:val="nil"/>
              <w:left w:val="nil"/>
              <w:bottom w:val="nil"/>
              <w:right w:val="nil"/>
              <w:insideH w:val="nil"/>
              <w:insideV w:val="nil"/>
            </w:tcBorders>
          </w:tcPr>
          <w:p>
            <w:r>
              <w:rPr>
                <w:b/>
                <w:color w:val="9B2D30"/>
                <w:sz w:val="17"/>
              </w:rPr>
              <w:t>7</w:t>
            </w:r>
          </w:p>
        </w:tc>
        <w:tc>
          <w:tcPr>
            <w:tcW w:type="dxa" w:w="7483"/>
            <w:vAlign w:val="center"/>
            <w:tcBorders>
              <w:top w:val="nil"/>
              <w:left w:val="nil"/>
              <w:bottom w:val="nil"/>
              <w:right w:val="nil"/>
              <w:insideH w:val="nil"/>
              <w:insideV w:val="nil"/>
            </w:tcBorders>
          </w:tcPr>
          <w:p>
            <w:r>
              <w:rPr>
                <w:b/>
                <w:color w:val="9B2D30"/>
                <w:sz w:val="17"/>
              </w:rPr>
              <w:t>Referencias y anexos</w:t>
            </w:r>
          </w:p>
        </w:tc>
        <w:tc>
          <w:tcPr>
            <w:tcW w:type="dxa" w:w="794"/>
            <w:vAlign w:val="center"/>
            <w:tcBorders>
              <w:top w:val="nil"/>
              <w:left w:val="nil"/>
              <w:bottom w:val="nil"/>
              <w:right w:val="nil"/>
              <w:insideH w:val="nil"/>
              <w:insideV w:val="nil"/>
            </w:tcBorders>
          </w:tcPr>
          <w:p>
            <w:pPr>
              <w:jc w:val="right"/>
            </w:pPr>
            <w:r>
              <w:rPr>
                <w:b/>
                <w:color w:val="9B2D30"/>
                <w:sz w:val="17"/>
              </w:rPr>
              <w:t>21</w:t>
            </w:r>
          </w:p>
        </w:tc>
      </w:tr>
    </w:tbl>
    <w:p>
      <w:r>
        <w:br w:type="page"/>
      </w:r>
    </w:p>
    <w:p>
      <w:pPr>
        <w:spacing w:before="240" w:after="140"/>
      </w:pPr>
      <w:r>
        <w:rPr>
          <w:b/>
          <w:color w:val="9B2D30"/>
          <w:sz w:val="31"/>
        </w:rPr>
        <w:t>1. Antecedentes y objetivos</w:t>
      </w:r>
    </w:p>
    <w:p>
      <w:pPr>
        <w:spacing w:after="120" w:line="259" w:lineRule="auto"/>
      </w:pPr>
      <w:r>
        <w:rPr>
          <w:sz w:val="18"/>
        </w:rPr>
        <w:t>El proyecto de movilidad educativa ciclista en Bizkaia tiene como finalidad disponer de una lectura territorial homogénea sobre las condiciones que pueden facilitar o dificultar el acceso cotidiano en bicicleta a los centros educativos. El trabajo articula un visor GIS con indicadores comparables y una base de datos trazable. No pretende sustituir el conocimiento local, sino proporcionar una primera jerarquización capaz de orientar la revisión de itinerarios, la programación de inversiones y el diálogo con administraciones, centros, alumnado y familias.</w:t>
      </w:r>
    </w:p>
    <w:p>
      <w:pPr>
        <w:spacing w:after="120" w:line="259" w:lineRule="auto"/>
      </w:pPr>
      <w:r>
        <w:rPr>
          <w:sz w:val="18"/>
        </w:rPr>
        <w:t>La versión analizada integra alumnado real cuando existe fuente contrastada, red ciclista, rutas urbanas de baja intensidad, exposición de los itinerarios a aforos de tráfico, pendiente, transporte público, bicicleta pública e isócronas ciclistas. El modelo se ha corregido de forma iterativa para evitar dos sesgos relevantes: el beneficio automático de los municipios más poblados y la penalización de un centro por la mera proximidad geométrica a una infraestructura de alta capacidad que no forma parte de su itinerario efectivo.</w:t>
      </w:r>
    </w:p>
    <w:tbl>
      <w:tblPr>
        <w:tblStyle w:val="Tablaconcuadrcula"/>
        <w:tblW w:type="auto" w:w="0"/>
        <w:tblLook w:firstColumn="1" w:firstRow="1" w:lastColumn="0" w:lastRow="0" w:noHBand="0" w:noVBand="1" w:val="04A0"/>
        <w:tblBorders>
          <w:top w:val="single" w:sz="4" w:color="9B2D30"/>
          <w:left w:val="single" w:sz="4" w:color="9B2D30"/>
          <w:bottom w:val="single" w:sz="4" w:color="9B2D30"/>
          <w:right w:val="single" w:sz="4" w:color="9B2D30"/>
          <w:insideH w:val="single" w:sz="4" w:color="9B2D30"/>
          <w:insideV w:val="single" w:sz="4" w:color="9B2D30"/>
        </w:tblBorders>
      </w:tblPr>
      <w:tblGrid>
        <w:gridCol w:w="9978"/>
      </w:tblGrid>
      <w:tr>
        <w:tc>
          <w:tcPr>
            <w:tcW w:type="dxa" w:w="9978"/>
            <w:shd w:fill="F9EEEE"/>
            <w:vAlign w:val="center"/>
          </w:tcPr>
          <w:p>
            <w:r>
              <w:rPr>
                <w:b w:val="0"/>
                <w:color w:val="3D3D3D"/>
                <w:sz w:val="16"/>
              </w:rPr>
              <w:t>Principio de interpretación. La prioridad territorial es una herramienta de cribado. Una clasificación alta identifica entornos que merecen avanzar al contraste técnico y social; no certifica por sí misma que un itinerario sea seguro, ejecutable ni prioritario en términos presupuestarios.</w:t>
            </w:r>
          </w:p>
        </w:tc>
      </w:tr>
    </w:tbl>
    <w:p>
      <w:pPr>
        <w:spacing w:after="80"/>
      </w:pPr>
    </w:p>
    <w:p>
      <w:pPr>
        <w:spacing w:before="240" w:after="140"/>
      </w:pPr>
      <w:r>
        <w:rPr>
          <w:b/>
          <w:color w:val="9B2D30"/>
          <w:sz w:val="31"/>
        </w:rPr>
        <w:t>2. Alcance, universo y entregables</w:t>
      </w:r>
    </w:p>
    <w:p>
      <w:pPr>
        <w:spacing w:before="180" w:after="100"/>
      </w:pPr>
      <w:r>
        <w:rPr>
          <w:b/>
          <w:color w:val="3D3D3D"/>
          <w:sz w:val="21"/>
        </w:rPr>
        <w:t>2.1. Finalidad y límites de interpretación</w:t>
      </w:r>
    </w:p>
    <w:p>
      <w:pPr>
        <w:spacing w:after="120" w:line="259" w:lineRule="auto"/>
      </w:pPr>
      <w:r>
        <w:rPr>
          <w:sz w:val="18"/>
        </w:rPr>
        <w:t>El aplicativo clasifica los centros en prioridad Alta, Media y Baja con una escala de 0 a 5. La salida se actualiza automáticamente cuando el usuario modifica los pesos y la suma de estos alcanza el 100 %. Las dimensiones no disponibles no se transforman en cero: se renormaliza el cálculo con las dimensiones disponibles, siempre que la cobertura alcance el umbral operativo definido. Esta regla evita confundir falta de información con mal desempeño territorial.</w:t>
      </w:r>
    </w:p>
    <w:p>
      <w:pPr>
        <w:spacing w:before="180" w:after="100"/>
      </w:pPr>
      <w:r>
        <w:rPr>
          <w:b/>
          <w:color w:val="3D3D3D"/>
          <w:sz w:val="21"/>
        </w:rPr>
        <w:t>2.2. Universo de análisis y tipologías</w:t>
      </w:r>
    </w:p>
    <w:p>
      <w:pPr>
        <w:spacing w:after="120" w:line="259" w:lineRule="auto"/>
      </w:pPr>
      <w:r>
        <w:rPr>
          <w:sz w:val="18"/>
        </w:rPr>
        <w:t>El universo operativo comprende 430 registros geolocalizados, incluyendo enseñanzas escolares, Formación Profesional y 11 nodos de educación superior. Se mantienen los registros excluidos como capa informativa cuando disponen de coordenadas, pero se separan de la clasificación principal cuando su función educativa no es comparable con la autonomía ciclista escolar o cuando falta información geográfica suficiente. La clasificación actual contiene 196 prioridades altas, 159 medias y 64 bajas.</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3326"/>
        <w:gridCol w:w="3326"/>
        <w:gridCol w:w="3326"/>
      </w:tblGrid>
      <w:tr>
        <w:tc>
          <w:tcPr>
            <w:tcW w:type="dxa" w:w="1928"/>
            <w:shd w:fill="9B2D30"/>
            <w:vAlign w:val="center"/>
          </w:tcPr>
          <w:p>
            <w:r>
              <w:rPr>
                <w:b/>
                <w:color w:val="FFFFFF"/>
                <w:sz w:val="16"/>
              </w:rPr>
              <w:t>Grupo</w:t>
            </w:r>
          </w:p>
        </w:tc>
        <w:tc>
          <w:tcPr>
            <w:tcW w:type="dxa" w:w="3572"/>
            <w:shd w:fill="9B2D30"/>
            <w:vAlign w:val="center"/>
          </w:tcPr>
          <w:p>
            <w:r>
              <w:rPr>
                <w:b/>
                <w:color w:val="FFFFFF"/>
                <w:sz w:val="16"/>
              </w:rPr>
              <w:t>Tratamiento en el visor</w:t>
            </w:r>
          </w:p>
        </w:tc>
        <w:tc>
          <w:tcPr>
            <w:tcW w:type="dxa" w:w="3572"/>
            <w:shd w:fill="9B2D30"/>
            <w:vAlign w:val="center"/>
          </w:tcPr>
          <w:p>
            <w:r>
              <w:rPr>
                <w:b/>
                <w:color w:val="FFFFFF"/>
                <w:sz w:val="16"/>
              </w:rPr>
              <w:t>Criterio metodológico</w:t>
            </w:r>
          </w:p>
        </w:tc>
      </w:tr>
      <w:tr>
        <w:tc>
          <w:tcPr>
            <w:tcW w:type="dxa" w:w="1928"/>
            <w:vAlign w:val="center"/>
          </w:tcPr>
          <w:p>
            <w:r>
              <w:rPr>
                <w:b w:val="0"/>
                <w:sz w:val="16"/>
              </w:rPr>
              <w:t>Infantil, primaria y secundaria</w:t>
            </w:r>
          </w:p>
        </w:tc>
        <w:tc>
          <w:tcPr>
            <w:tcW w:type="dxa" w:w="3572"/>
            <w:vAlign w:val="center"/>
          </w:tcPr>
          <w:p>
            <w:r>
              <w:rPr>
                <w:b w:val="0"/>
                <w:sz w:val="16"/>
              </w:rPr>
              <w:t>Evaluación completa cuando hay datos</w:t>
            </w:r>
          </w:p>
        </w:tc>
        <w:tc>
          <w:tcPr>
            <w:tcW w:type="dxa" w:w="3572"/>
            <w:vAlign w:val="center"/>
          </w:tcPr>
          <w:p>
            <w:r>
              <w:rPr>
                <w:b w:val="0"/>
                <w:sz w:val="16"/>
              </w:rPr>
              <w:t>Ámbito central de movilidad educativa</w:t>
            </w:r>
          </w:p>
        </w:tc>
      </w:tr>
      <w:tr>
        <w:tc>
          <w:tcPr>
            <w:tcW w:type="dxa" w:w="1928"/>
            <w:shd w:fill="F3F3F3"/>
            <w:vAlign w:val="center"/>
          </w:tcPr>
          <w:p>
            <w:r>
              <w:rPr>
                <w:b w:val="0"/>
                <w:sz w:val="16"/>
              </w:rPr>
              <w:t>Formación Profesional</w:t>
            </w:r>
          </w:p>
        </w:tc>
        <w:tc>
          <w:tcPr>
            <w:tcW w:type="dxa" w:w="3572"/>
            <w:shd w:fill="F3F3F3"/>
            <w:vAlign w:val="center"/>
          </w:tcPr>
          <w:p>
            <w:r>
              <w:rPr>
                <w:b w:val="0"/>
                <w:sz w:val="16"/>
              </w:rPr>
              <w:t>Evaluación física; demanda si existe fuente individual</w:t>
            </w:r>
          </w:p>
        </w:tc>
        <w:tc>
          <w:tcPr>
            <w:tcW w:type="dxa" w:w="3572"/>
            <w:shd w:fill="F3F3F3"/>
            <w:vAlign w:val="center"/>
          </w:tcPr>
          <w:p>
            <w:r>
              <w:rPr>
                <w:b w:val="0"/>
                <w:sz w:val="16"/>
              </w:rPr>
              <w:t>Movilidad de mayor autonomía y horarios diversos</w:t>
            </w:r>
          </w:p>
        </w:tc>
      </w:tr>
      <w:tr>
        <w:tc>
          <w:tcPr>
            <w:tcW w:type="dxa" w:w="1928"/>
            <w:vAlign w:val="center"/>
          </w:tcPr>
          <w:p>
            <w:r>
              <w:rPr>
                <w:b w:val="0"/>
                <w:sz w:val="16"/>
              </w:rPr>
              <w:t>Universidad</w:t>
            </w:r>
          </w:p>
        </w:tc>
        <w:tc>
          <w:tcPr>
            <w:tcW w:type="dxa" w:w="3572"/>
            <w:vAlign w:val="center"/>
          </w:tcPr>
          <w:p>
            <w:r>
              <w:rPr>
                <w:b w:val="0"/>
                <w:sz w:val="16"/>
              </w:rPr>
              <w:t>Evaluación física; demanda por nodo/campus con fuente atribuible</w:t>
            </w:r>
          </w:p>
        </w:tc>
        <w:tc>
          <w:tcPr>
            <w:tcW w:type="dxa" w:w="3572"/>
            <w:vAlign w:val="center"/>
          </w:tcPr>
          <w:p>
            <w:r>
              <w:rPr>
                <w:b w:val="0"/>
                <w:sz w:val="16"/>
              </w:rPr>
              <w:t>No se reparte matrícula institucional entre edificios sin dato específico</w:t>
            </w:r>
          </w:p>
        </w:tc>
      </w:tr>
      <w:tr>
        <w:tc>
          <w:tcPr>
            <w:tcW w:type="dxa" w:w="1928"/>
            <w:shd w:fill="F3F3F3"/>
            <w:vAlign w:val="center"/>
          </w:tcPr>
          <w:p>
            <w:r>
              <w:rPr>
                <w:b w:val="0"/>
                <w:sz w:val="16"/>
              </w:rPr>
              <w:t>Registros excluidos</w:t>
            </w:r>
          </w:p>
        </w:tc>
        <w:tc>
          <w:tcPr>
            <w:tcW w:type="dxa" w:w="3572"/>
            <w:shd w:fill="F3F3F3"/>
            <w:vAlign w:val="center"/>
          </w:tcPr>
          <w:p>
            <w:r>
              <w:rPr>
                <w:b w:val="0"/>
                <w:sz w:val="16"/>
              </w:rPr>
              <w:t>Capa de contexto, no ranking</w:t>
            </w:r>
          </w:p>
        </w:tc>
        <w:tc>
          <w:tcPr>
            <w:tcW w:type="dxa" w:w="3572"/>
            <w:shd w:fill="F3F3F3"/>
            <w:vAlign w:val="center"/>
          </w:tcPr>
          <w:p>
            <w:r>
              <w:rPr>
                <w:b w:val="0"/>
                <w:sz w:val="16"/>
              </w:rPr>
              <w:t>Fuera de autonomía ciclista o sin coordenadas válidas</w:t>
            </w:r>
          </w:p>
        </w:tc>
      </w:tr>
    </w:tbl>
    <w:p>
      <w:pPr>
        <w:spacing w:after="40"/>
      </w:pPr>
    </w:p>
    <w:p>
      <w:pPr>
        <w:spacing w:before="180" w:after="100"/>
      </w:pPr>
      <w:r>
        <w:rPr>
          <w:b/>
          <w:color w:val="3D3D3D"/>
          <w:sz w:val="21"/>
        </w:rPr>
        <w:t>2.3. Entregables y uso del visor</w:t>
      </w:r>
    </w:p>
    <w:p>
      <w:pPr>
        <w:spacing w:after="120" w:line="259" w:lineRule="auto"/>
      </w:pPr>
      <w:r>
        <w:rPr>
          <w:sz w:val="18"/>
        </w:rPr>
        <w:t>El resultado se entrega en un informe HTML autónomo con panel lateral, mapa, fichas por centro, filtros de prioridad, capas temáticas y configuración interactiva de pesos. La ficha se abre a la izquierda sin abandonar el contexto cartográfico. Además, se suministra una base CSV con los campos calculados, documentación metodológica, diccionario de variables y paquetes Shapefile de las capas visibles.</w:t>
      </w:r>
    </w:p>
    <w:p>
      <w:pPr>
        <w:spacing w:after="60"/>
        <w:ind w:left="255" w:hanging="142"/>
      </w:pPr>
      <w:r>
        <w:rPr>
          <w:sz w:val="18"/>
        </w:rPr>
        <w:t>•  Informe interactivo HTML con filtros de prioridad, capas y ficha lateral.</w:t>
      </w:r>
    </w:p>
    <w:p>
      <w:pPr>
        <w:spacing w:after="60"/>
        <w:ind w:left="255" w:hanging="142"/>
      </w:pPr>
      <w:r>
        <w:rPr>
          <w:sz w:val="18"/>
        </w:rPr>
        <w:t>•  Base de datos de centros y resultados en CSV, con fuente y nivel de trazabilidad de cada indicador.</w:t>
      </w:r>
    </w:p>
    <w:p>
      <w:pPr>
        <w:spacing w:after="60"/>
        <w:ind w:left="255" w:hanging="142"/>
      </w:pPr>
      <w:r>
        <w:rPr>
          <w:sz w:val="18"/>
        </w:rPr>
        <w:t>•  Capas GIS descargables: centros, excluidos, red ciclista, transporte público, bici pública e isócronas.</w:t>
      </w:r>
    </w:p>
    <w:p>
      <w:pPr>
        <w:spacing w:after="60"/>
        <w:ind w:left="255" w:hanging="142"/>
      </w:pPr>
      <w:r>
        <w:rPr>
          <w:sz w:val="18"/>
        </w:rPr>
        <w:t>•  Este informe metodológico, destinado a explicar la lógica de cálculo, las fuentes y sus límites.</w:t>
      </w:r>
    </w:p>
    <w:p>
      <w:pPr>
        <w:spacing w:before="240" w:after="140"/>
      </w:pPr>
      <w:r>
        <w:rPr>
          <w:b/>
          <w:color w:val="9B2D30"/>
          <w:sz w:val="31"/>
        </w:rPr>
        <w:t>3. Modelo de datos y metodología</w:t>
      </w:r>
    </w:p>
    <w:p>
      <w:pPr>
        <w:spacing w:before="180" w:after="100"/>
      </w:pPr>
      <w:r>
        <w:rPr>
          <w:b/>
          <w:color w:val="3D3D3D"/>
          <w:sz w:val="21"/>
        </w:rPr>
        <w:t>3.1. Fuentes, preparación y trazabilidad de la evidencia</w:t>
      </w:r>
    </w:p>
    <w:p>
      <w:pPr>
        <w:spacing w:after="120" w:line="259" w:lineRule="auto"/>
      </w:pPr>
      <w:r>
        <w:rPr>
          <w:sz w:val="18"/>
        </w:rPr>
        <w:t>La metodología integra fuentes administrativas, cartográficas y de movilidad con un criterio de trazabilidad. Cada indicador guarda el valor original, unidad, fuente, nivel de trazabilidad y observación. La preparación de datos se estructura en cuatro pasos: definición del universo, normalización y cruce, generación de indicadores espaciales y clasificación ponderada. Esta secuencia permite identificar los registros que requieren verificación, actualizar una fuente sin rehacer el resto del modelo y documentar las decisiones técnicas.</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2494"/>
        <w:gridCol w:w="2494"/>
        <w:gridCol w:w="2494"/>
        <w:gridCol w:w="2494"/>
      </w:tblGrid>
      <w:tr>
        <w:tc>
          <w:tcPr>
            <w:tcW w:type="dxa" w:w="1361"/>
            <w:shd w:fill="9B2D30"/>
            <w:vAlign w:val="center"/>
          </w:tcPr>
          <w:p>
            <w:r>
              <w:rPr>
                <w:b/>
                <w:color w:val="FFFFFF"/>
                <w:sz w:val="16"/>
              </w:rPr>
              <w:t>Bloque</w:t>
            </w:r>
          </w:p>
        </w:tc>
        <w:tc>
          <w:tcPr>
            <w:tcW w:type="dxa" w:w="3005"/>
            <w:shd w:fill="9B2D30"/>
            <w:vAlign w:val="center"/>
          </w:tcPr>
          <w:p>
            <w:r>
              <w:rPr>
                <w:b/>
                <w:color w:val="FFFFFF"/>
                <w:sz w:val="16"/>
              </w:rPr>
              <w:t>Fuente utilizada</w:t>
            </w:r>
          </w:p>
        </w:tc>
        <w:tc>
          <w:tcPr>
            <w:tcW w:type="dxa" w:w="3175"/>
            <w:shd w:fill="9B2D30"/>
            <w:vAlign w:val="center"/>
          </w:tcPr>
          <w:p>
            <w:r>
              <w:rPr>
                <w:b/>
                <w:color w:val="FFFFFF"/>
                <w:sz w:val="16"/>
              </w:rPr>
              <w:t>Aplicación</w:t>
            </w:r>
          </w:p>
        </w:tc>
        <w:tc>
          <w:tcPr>
            <w:tcW w:type="dxa" w:w="1247"/>
            <w:shd w:fill="9B2D30"/>
            <w:vAlign w:val="center"/>
          </w:tcPr>
          <w:p>
            <w:r>
              <w:rPr>
                <w:b/>
                <w:color w:val="FFFFFF"/>
                <w:sz w:val="16"/>
              </w:rPr>
              <w:t>Trazabilidad</w:t>
            </w:r>
          </w:p>
        </w:tc>
      </w:tr>
      <w:tr>
        <w:tc>
          <w:tcPr>
            <w:tcW w:type="dxa" w:w="1361"/>
            <w:vAlign w:val="center"/>
          </w:tcPr>
          <w:p>
            <w:r>
              <w:rPr>
                <w:b w:val="0"/>
                <w:sz w:val="16"/>
              </w:rPr>
              <w:t>Centros</w:t>
            </w:r>
          </w:p>
        </w:tc>
        <w:tc>
          <w:tcPr>
            <w:tcW w:type="dxa" w:w="3005"/>
            <w:vAlign w:val="center"/>
          </w:tcPr>
          <w:p>
            <w:r>
              <w:rPr>
                <w:b w:val="0"/>
                <w:sz w:val="16"/>
              </w:rPr>
              <w:t>Directorio de centros GV y capas de caminos escolares aportadas</w:t>
            </w:r>
          </w:p>
        </w:tc>
        <w:tc>
          <w:tcPr>
            <w:tcW w:type="dxa" w:w="3175"/>
            <w:vAlign w:val="center"/>
          </w:tcPr>
          <w:p>
            <w:r>
              <w:rPr>
                <w:b w:val="0"/>
                <w:sz w:val="16"/>
              </w:rPr>
              <w:t>Denominación, tipología, coordenadas y etapas</w:t>
            </w:r>
          </w:p>
        </w:tc>
        <w:tc>
          <w:tcPr>
            <w:tcW w:type="dxa" w:w="1247"/>
            <w:vAlign w:val="center"/>
          </w:tcPr>
          <w:p>
            <w:r>
              <w:rPr>
                <w:b w:val="0"/>
                <w:sz w:val="16"/>
              </w:rPr>
              <w:t>Directa / integrada</w:t>
            </w:r>
          </w:p>
        </w:tc>
      </w:tr>
      <w:tr>
        <w:tc>
          <w:tcPr>
            <w:tcW w:type="dxa" w:w="1361"/>
            <w:shd w:fill="F3F3F3"/>
            <w:vAlign w:val="center"/>
          </w:tcPr>
          <w:p>
            <w:r>
              <w:rPr>
                <w:b w:val="0"/>
                <w:sz w:val="16"/>
              </w:rPr>
              <w:t>Alumnado</w:t>
            </w:r>
          </w:p>
        </w:tc>
        <w:tc>
          <w:tcPr>
            <w:tcW w:type="dxa" w:w="3005"/>
            <w:shd w:fill="F3F3F3"/>
            <w:vAlign w:val="center"/>
          </w:tcPr>
          <w:p>
            <w:r>
              <w:rPr>
                <w:b w:val="0"/>
                <w:sz w:val="16"/>
              </w:rPr>
              <w:t>Listado de centros/alumnos facilitado por la propiedad</w:t>
            </w:r>
          </w:p>
        </w:tc>
        <w:tc>
          <w:tcPr>
            <w:tcW w:type="dxa" w:w="3175"/>
            <w:shd w:fill="F3F3F3"/>
            <w:vAlign w:val="center"/>
          </w:tcPr>
          <w:p>
            <w:r>
              <w:rPr>
                <w:b w:val="0"/>
                <w:sz w:val="16"/>
              </w:rPr>
              <w:t>Matrícula y relación alumnado/población escolar</w:t>
            </w:r>
          </w:p>
        </w:tc>
        <w:tc>
          <w:tcPr>
            <w:tcW w:type="dxa" w:w="1247"/>
            <w:shd w:fill="F3F3F3"/>
            <w:vAlign w:val="center"/>
          </w:tcPr>
          <w:p>
            <w:r>
              <w:rPr>
                <w:b w:val="0"/>
                <w:sz w:val="16"/>
              </w:rPr>
              <w:t>Directa si el cruce está validado</w:t>
            </w:r>
          </w:p>
        </w:tc>
      </w:tr>
      <w:tr>
        <w:tc>
          <w:tcPr>
            <w:tcW w:type="dxa" w:w="1361"/>
            <w:vAlign w:val="center"/>
          </w:tcPr>
          <w:p>
            <w:r>
              <w:rPr>
                <w:b w:val="0"/>
                <w:sz w:val="16"/>
              </w:rPr>
              <w:t>Tráfico</w:t>
            </w:r>
          </w:p>
        </w:tc>
        <w:tc>
          <w:tcPr>
            <w:tcW w:type="dxa" w:w="3005"/>
            <w:vAlign w:val="center"/>
          </w:tcPr>
          <w:p>
            <w:r>
              <w:rPr>
                <w:b w:val="0"/>
                <w:sz w:val="16"/>
              </w:rPr>
              <w:t>Libro de aforos DFB, Evolución del tráfico 2025</w:t>
            </w:r>
          </w:p>
        </w:tc>
        <w:tc>
          <w:tcPr>
            <w:tcW w:type="dxa" w:w="3175"/>
            <w:vAlign w:val="center"/>
          </w:tcPr>
          <w:p>
            <w:r>
              <w:rPr>
                <w:b w:val="0"/>
                <w:sz w:val="16"/>
              </w:rPr>
              <w:t>IMD de los tramos que componen la ruta</w:t>
            </w:r>
          </w:p>
        </w:tc>
        <w:tc>
          <w:tcPr>
            <w:tcW w:type="dxa" w:w="1247"/>
            <w:vAlign w:val="center"/>
          </w:tcPr>
          <w:p>
            <w:r>
              <w:rPr>
                <w:b w:val="0"/>
                <w:sz w:val="16"/>
              </w:rPr>
              <w:t>Directa en referencias vinculadas</w:t>
            </w:r>
          </w:p>
        </w:tc>
      </w:tr>
      <w:tr>
        <w:tc>
          <w:tcPr>
            <w:tcW w:type="dxa" w:w="1361"/>
            <w:shd w:fill="F3F3F3"/>
            <w:vAlign w:val="center"/>
          </w:tcPr>
          <w:p>
            <w:r>
              <w:rPr>
                <w:b w:val="0"/>
                <w:sz w:val="16"/>
              </w:rPr>
              <w:t>Red viaria</w:t>
            </w:r>
          </w:p>
        </w:tc>
        <w:tc>
          <w:tcPr>
            <w:tcW w:type="dxa" w:w="3005"/>
            <w:shd w:fill="F3F3F3"/>
            <w:vAlign w:val="center"/>
          </w:tcPr>
          <w:p>
            <w:r>
              <w:rPr>
                <w:b w:val="0"/>
                <w:sz w:val="16"/>
              </w:rPr>
              <w:t>OpenStreetMap, extracto País Vasco de Geofabrik</w:t>
            </w:r>
          </w:p>
        </w:tc>
        <w:tc>
          <w:tcPr>
            <w:tcW w:type="dxa" w:w="3175"/>
            <w:shd w:fill="F3F3F3"/>
            <w:vAlign w:val="center"/>
          </w:tcPr>
          <w:p>
            <w:r>
              <w:rPr>
                <w:b w:val="0"/>
                <w:sz w:val="16"/>
              </w:rPr>
              <w:t>Rutas, capilaridad, pasos e isócronas</w:t>
            </w:r>
          </w:p>
        </w:tc>
        <w:tc>
          <w:tcPr>
            <w:tcW w:type="dxa" w:w="1247"/>
            <w:shd w:fill="F3F3F3"/>
            <w:vAlign w:val="center"/>
          </w:tcPr>
          <w:p>
            <w:r>
              <w:rPr>
                <w:b w:val="0"/>
                <w:sz w:val="16"/>
              </w:rPr>
              <w:t>Integrada</w:t>
            </w:r>
          </w:p>
        </w:tc>
      </w:tr>
      <w:tr>
        <w:tc>
          <w:tcPr>
            <w:tcW w:type="dxa" w:w="1361"/>
            <w:vAlign w:val="center"/>
          </w:tcPr>
          <w:p>
            <w:r>
              <w:rPr>
                <w:b w:val="0"/>
                <w:sz w:val="16"/>
              </w:rPr>
              <w:t>Red ciclista</w:t>
            </w:r>
          </w:p>
        </w:tc>
        <w:tc>
          <w:tcPr>
            <w:tcW w:type="dxa" w:w="3005"/>
            <w:vAlign w:val="center"/>
          </w:tcPr>
          <w:p>
            <w:r>
              <w:rPr>
                <w:b w:val="0"/>
                <w:sz w:val="16"/>
              </w:rPr>
              <w:t>Capas DFB aportadas</w:t>
            </w:r>
          </w:p>
        </w:tc>
        <w:tc>
          <w:tcPr>
            <w:tcW w:type="dxa" w:w="3175"/>
            <w:vAlign w:val="center"/>
          </w:tcPr>
          <w:p>
            <w:r>
              <w:rPr>
                <w:b w:val="0"/>
                <w:sz w:val="16"/>
              </w:rPr>
              <w:t>Proximidad, densidad y visualización</w:t>
            </w:r>
          </w:p>
        </w:tc>
        <w:tc>
          <w:tcPr>
            <w:tcW w:type="dxa" w:w="1247"/>
            <w:vAlign w:val="center"/>
          </w:tcPr>
          <w:p>
            <w:r>
              <w:rPr>
                <w:b w:val="0"/>
                <w:sz w:val="16"/>
              </w:rPr>
              <w:t>Directa</w:t>
            </w:r>
          </w:p>
        </w:tc>
      </w:tr>
      <w:tr>
        <w:tc>
          <w:tcPr>
            <w:tcW w:type="dxa" w:w="1361"/>
            <w:shd w:fill="F3F3F3"/>
            <w:vAlign w:val="center"/>
          </w:tcPr>
          <w:p>
            <w:r>
              <w:rPr>
                <w:b w:val="0"/>
                <w:sz w:val="16"/>
              </w:rPr>
              <w:t>Elevación</w:t>
            </w:r>
          </w:p>
        </w:tc>
        <w:tc>
          <w:tcPr>
            <w:tcW w:type="dxa" w:w="3005"/>
            <w:shd w:fill="F3F3F3"/>
            <w:vAlign w:val="center"/>
          </w:tcPr>
          <w:p>
            <w:r>
              <w:rPr>
                <w:b w:val="0"/>
                <w:sz w:val="16"/>
              </w:rPr>
              <w:t>Open-Meteo Elevation, referencia Copernicus DEM</w:t>
            </w:r>
          </w:p>
        </w:tc>
        <w:tc>
          <w:tcPr>
            <w:tcW w:type="dxa" w:w="3175"/>
            <w:shd w:fill="F3F3F3"/>
            <w:vAlign w:val="center"/>
          </w:tcPr>
          <w:p>
            <w:r>
              <w:rPr>
                <w:b w:val="0"/>
                <w:sz w:val="16"/>
              </w:rPr>
              <w:t>Pendiente de entorno y velocidad de isócronas</w:t>
            </w:r>
          </w:p>
        </w:tc>
        <w:tc>
          <w:tcPr>
            <w:tcW w:type="dxa" w:w="1247"/>
            <w:shd w:fill="F3F3F3"/>
            <w:vAlign w:val="center"/>
          </w:tcPr>
          <w:p>
            <w:r>
              <w:rPr>
                <w:b w:val="0"/>
                <w:sz w:val="16"/>
              </w:rPr>
              <w:t>Derivada territorial</w:t>
            </w:r>
          </w:p>
        </w:tc>
      </w:tr>
      <w:tr>
        <w:tc>
          <w:tcPr>
            <w:tcW w:type="dxa" w:w="1361"/>
            <w:vAlign w:val="center"/>
          </w:tcPr>
          <w:p>
            <w:r>
              <w:rPr>
                <w:b w:val="0"/>
                <w:sz w:val="16"/>
              </w:rPr>
              <w:t>Transporte</w:t>
            </w:r>
          </w:p>
        </w:tc>
        <w:tc>
          <w:tcPr>
            <w:tcW w:type="dxa" w:w="3005"/>
            <w:vAlign w:val="center"/>
          </w:tcPr>
          <w:p>
            <w:r>
              <w:rPr>
                <w:b w:val="0"/>
                <w:sz w:val="16"/>
              </w:rPr>
              <w:t>GTFS Bizkaibus, Bilbobus/OSM y capas metro/tren</w:t>
            </w:r>
          </w:p>
        </w:tc>
        <w:tc>
          <w:tcPr>
            <w:tcW w:type="dxa" w:w="3175"/>
            <w:vAlign w:val="center"/>
          </w:tcPr>
          <w:p>
            <w:r>
              <w:rPr>
                <w:b w:val="0"/>
                <w:sz w:val="16"/>
              </w:rPr>
              <w:t>Intermodalidad y visualización</w:t>
            </w:r>
          </w:p>
        </w:tc>
        <w:tc>
          <w:tcPr>
            <w:tcW w:type="dxa" w:w="1247"/>
            <w:vAlign w:val="center"/>
          </w:tcPr>
          <w:p>
            <w:r>
              <w:rPr>
                <w:b w:val="0"/>
                <w:sz w:val="16"/>
              </w:rPr>
              <w:t>Integrada / derivada</w:t>
            </w:r>
          </w:p>
        </w:tc>
      </w:tr>
    </w:tbl>
    <w:p>
      <w:pPr>
        <w:spacing w:after="40"/>
      </w:pPr>
    </w:p>
    <w:tbl>
      <w:tblPr>
        <w:tblStyle w:val="Tablaconcuadrcula"/>
        <w:tblW w:type="auto" w:w="0"/>
        <w:tblLook w:firstColumn="1" w:firstRow="1" w:lastColumn="0" w:lastRow="0" w:noHBand="0" w:noVBand="1" w:val="04A0"/>
        <w:tblBorders>
          <w:top w:val="single" w:sz="4" w:color="9B2D30"/>
          <w:left w:val="single" w:sz="4" w:color="9B2D30"/>
          <w:bottom w:val="single" w:sz="4" w:color="9B2D30"/>
          <w:right w:val="single" w:sz="4" w:color="9B2D30"/>
          <w:insideH w:val="single" w:sz="4" w:color="9B2D30"/>
          <w:insideV w:val="single" w:sz="4" w:color="9B2D30"/>
        </w:tblBorders>
      </w:tblPr>
      <w:tblGrid>
        <w:gridCol w:w="9978"/>
      </w:tblGrid>
      <w:tr>
        <w:tc>
          <w:tcPr>
            <w:tcW w:type="dxa" w:w="9978"/>
            <w:shd w:fill="F9EEEE"/>
            <w:vAlign w:val="center"/>
          </w:tcPr>
          <w:p>
            <w:r>
              <w:rPr>
                <w:b w:val="0"/>
                <w:color w:val="3D3D3D"/>
                <w:sz w:val="16"/>
              </w:rPr>
              <w:t>Interpretación. El nivel de trazabilidad no es una escala de fiabilidad, no reduce la validez de una fuente y no altera la puntuación. Indica exclusivamente cómo se vincula la fuente con el indicador: directa para un dato primario o específico; integrada cuando requiere cruce o procesamiento espacial; y derivada territorial cuando procede de un cálculo técnico. La relevancia en el resultado final se expresa únicamente mediante los pesos analíticos configurables.</w:t>
            </w:r>
          </w:p>
        </w:tc>
      </w:tr>
    </w:tbl>
    <w:p>
      <w:pPr>
        <w:spacing w:after="80"/>
      </w:pPr>
    </w:p>
    <w:p>
      <w:pPr>
        <w:spacing w:after="120" w:line="259" w:lineRule="auto"/>
      </w:pPr>
      <w:r>
        <w:rPr>
          <w:sz w:val="18"/>
        </w:rPr>
        <w:t>Los valores ND se conservan de forma explícita para favorecer la mejora posterior del inventario. ND representa dato no disponible, no un cero ni una fuente poco fiable.</w:t>
      </w:r>
    </w:p>
    <w:p>
      <w:pPr>
        <w:spacing w:before="180" w:after="100"/>
      </w:pPr>
      <w:r>
        <w:rPr>
          <w:b/>
          <w:color w:val="3D3D3D"/>
          <w:sz w:val="21"/>
        </w:rPr>
        <w:t>3.2. Demanda y alumnado matriculado</w:t>
      </w:r>
    </w:p>
    <w:p>
      <w:pPr>
        <w:spacing w:after="120" w:line="259" w:lineRule="auto"/>
      </w:pPr>
      <w:r>
        <w:rPr>
          <w:sz w:val="18"/>
        </w:rPr>
        <w:t>La demanda combina dos variables: alumnado matriculado (DEM-01) y ratio alumnado/población municipal de edades asociadas a las etapas del centro (DEM-02). La primera mide la masa crítica potencial y la segunda evita que un municipio grande aumente automáticamente la prioridad por su población absoluta. Actualmente 302 registros disponen de alumnado contrastado. Los casos con denominaciones ambiguas se sometieron a revisión; por ejemplo, CLARET ASKARTZA se vinculó a 1.572 alumnos tras corregir el orden de la denominación.</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2494"/>
        <w:gridCol w:w="2494"/>
        <w:gridCol w:w="2494"/>
        <w:gridCol w:w="2494"/>
      </w:tblGrid>
      <w:tr>
        <w:tc>
          <w:tcPr>
            <w:tcW w:type="dxa" w:w="1191"/>
            <w:shd w:fill="9B2D30"/>
            <w:vAlign w:val="center"/>
          </w:tcPr>
          <w:p>
            <w:r>
              <w:rPr>
                <w:b/>
                <w:color w:val="FFFFFF"/>
                <w:sz w:val="16"/>
              </w:rPr>
              <w:t>Código</w:t>
            </w:r>
          </w:p>
        </w:tc>
        <w:tc>
          <w:tcPr>
            <w:tcW w:type="dxa" w:w="2268"/>
            <w:shd w:fill="9B2D30"/>
            <w:vAlign w:val="center"/>
          </w:tcPr>
          <w:p>
            <w:r>
              <w:rPr>
                <w:b/>
                <w:color w:val="FFFFFF"/>
                <w:sz w:val="16"/>
              </w:rPr>
              <w:t>Indicador</w:t>
            </w:r>
          </w:p>
        </w:tc>
        <w:tc>
          <w:tcPr>
            <w:tcW w:type="dxa" w:w="3288"/>
            <w:shd w:fill="9B2D30"/>
            <w:vAlign w:val="center"/>
          </w:tcPr>
          <w:p>
            <w:r>
              <w:rPr>
                <w:b/>
                <w:color w:val="FFFFFF"/>
                <w:sz w:val="16"/>
              </w:rPr>
              <w:t>Definición</w:t>
            </w:r>
          </w:p>
        </w:tc>
        <w:tc>
          <w:tcPr>
            <w:tcW w:type="dxa" w:w="2041"/>
            <w:shd w:fill="9B2D30"/>
            <w:vAlign w:val="center"/>
          </w:tcPr>
          <w:p>
            <w:r>
              <w:rPr>
                <w:b/>
                <w:color w:val="FFFFFF"/>
                <w:sz w:val="16"/>
              </w:rPr>
              <w:t>Tratamiento</w:t>
            </w:r>
          </w:p>
        </w:tc>
      </w:tr>
      <w:tr>
        <w:tc>
          <w:tcPr>
            <w:tcW w:type="dxa" w:w="1191"/>
            <w:vAlign w:val="center"/>
          </w:tcPr>
          <w:p>
            <w:r>
              <w:rPr>
                <w:b w:val="0"/>
                <w:sz w:val="16"/>
              </w:rPr>
              <w:t>DEM-01</w:t>
            </w:r>
          </w:p>
        </w:tc>
        <w:tc>
          <w:tcPr>
            <w:tcW w:type="dxa" w:w="2268"/>
            <w:vAlign w:val="center"/>
          </w:tcPr>
          <w:p>
            <w:r>
              <w:rPr>
                <w:b w:val="0"/>
                <w:sz w:val="16"/>
              </w:rPr>
              <w:t>Alumnado matriculado</w:t>
            </w:r>
          </w:p>
        </w:tc>
        <w:tc>
          <w:tcPr>
            <w:tcW w:type="dxa" w:w="3288"/>
            <w:vAlign w:val="center"/>
          </w:tcPr>
          <w:p>
            <w:r>
              <w:rPr>
                <w:b w:val="0"/>
                <w:sz w:val="16"/>
              </w:rPr>
              <w:t>Suma de alumnado del centro o dato institucional claramente atribuible</w:t>
            </w:r>
          </w:p>
        </w:tc>
        <w:tc>
          <w:tcPr>
            <w:tcW w:type="dxa" w:w="2041"/>
            <w:vAlign w:val="center"/>
          </w:tcPr>
          <w:p>
            <w:r>
              <w:rPr>
                <w:b w:val="0"/>
                <w:sz w:val="16"/>
              </w:rPr>
              <w:t>60 % de la dimensión Demanda</w:t>
            </w:r>
          </w:p>
        </w:tc>
      </w:tr>
      <w:tr>
        <w:tc>
          <w:tcPr>
            <w:tcW w:type="dxa" w:w="1191"/>
            <w:shd w:fill="F3F3F3"/>
            <w:vAlign w:val="center"/>
          </w:tcPr>
          <w:p>
            <w:r>
              <w:rPr>
                <w:b w:val="0"/>
                <w:sz w:val="16"/>
              </w:rPr>
              <w:t>DEM-02</w:t>
            </w:r>
          </w:p>
        </w:tc>
        <w:tc>
          <w:tcPr>
            <w:tcW w:type="dxa" w:w="2268"/>
            <w:shd w:fill="F3F3F3"/>
            <w:vAlign w:val="center"/>
          </w:tcPr>
          <w:p>
            <w:r>
              <w:rPr>
                <w:b w:val="0"/>
                <w:sz w:val="16"/>
              </w:rPr>
              <w:t>Ratio alumnado/población escolar</w:t>
            </w:r>
          </w:p>
        </w:tc>
        <w:tc>
          <w:tcPr>
            <w:tcW w:type="dxa" w:w="3288"/>
            <w:shd w:fill="F3F3F3"/>
            <w:vAlign w:val="center"/>
          </w:tcPr>
          <w:p>
            <w:r>
              <w:rPr>
                <w:b w:val="0"/>
                <w:sz w:val="16"/>
              </w:rPr>
              <w:t>Alumnado del centro / población municipal de las edades educativas correspondientes</w:t>
            </w:r>
          </w:p>
        </w:tc>
        <w:tc>
          <w:tcPr>
            <w:tcW w:type="dxa" w:w="2041"/>
            <w:shd w:fill="F3F3F3"/>
            <w:vAlign w:val="center"/>
          </w:tcPr>
          <w:p>
            <w:r>
              <w:rPr>
                <w:b w:val="0"/>
                <w:sz w:val="16"/>
              </w:rPr>
              <w:t>40 % de la dimensión Demanda</w:t>
            </w:r>
          </w:p>
        </w:tc>
      </w:tr>
    </w:tbl>
    <w:p>
      <w:pPr>
        <w:spacing w:after="40"/>
      </w:pPr>
    </w:p>
    <w:p>
      <w:pPr>
        <w:spacing w:after="120" w:line="259" w:lineRule="auto"/>
      </w:pPr>
      <w:r>
        <w:rPr>
          <w:sz w:val="18"/>
        </w:rPr>
        <w:t>Cuando no hay dato de matrícula individual, no se utiliza una estimación. En Formación Profesional y universidad, el dato se incorpora solo si la fuente permite asignarlo al nodo concreto o al campus identificado. Deusto Campus Bilbao y UNED Bizkaia disponen de valores institucionales explícitos en la base; los restantes nodos conservan sus condiciones físicas y se calculan con renormalización, pero el alumnado permanece ND.</w:t>
      </w:r>
    </w:p>
    <w:p>
      <w:pPr>
        <w:spacing w:before="180" w:after="100"/>
      </w:pPr>
      <w:r>
        <w:rPr>
          <w:b/>
          <w:color w:val="3D3D3D"/>
          <w:sz w:val="21"/>
        </w:rPr>
        <w:t>3.3. Conectividad e infraestructura ciclista</w:t>
      </w:r>
    </w:p>
    <w:p>
      <w:pPr>
        <w:spacing w:after="120" w:line="259" w:lineRule="auto"/>
      </w:pPr>
      <w:r>
        <w:rPr>
          <w:sz w:val="18"/>
        </w:rPr>
        <w:t>La conectividad valora la distancia a la infraestructura ciclista más próxima y la disponibilidad de red en un radio de 2 km. Se distinguen, además, los tramos ejecutados, en construcción, en planeamiento y los ejes estructurantes para que el visor no confunda oferta actual con previsiones. Los indicadores no consideran que una vía dibujada en un plan constituya por sí misma una infraestructura operativa; el estado se visualiza y se documenta por separado.</w:t>
      </w:r>
    </w:p>
    <w:p>
      <w:pPr>
        <w:spacing w:before="180" w:after="100"/>
      </w:pPr>
      <w:r>
        <w:rPr>
          <w:b/>
          <w:color w:val="3D3D3D"/>
          <w:sz w:val="21"/>
        </w:rPr>
        <w:t>3.4. Capilaridad urbana y rutas de baja intensidad</w:t>
      </w:r>
    </w:p>
    <w:p>
      <w:pPr>
        <w:spacing w:after="120" w:line="259" w:lineRule="auto"/>
      </w:pPr>
      <w:r>
        <w:rPr>
          <w:sz w:val="18"/>
        </w:rPr>
        <w:t>La capilaridad responde a la pregunta de si el centro puede alcanzarse desde el núcleo urbano municipal mediante calles de carácter local, caminos o infraestructura ciclista, evitando el uso ordinario de vías principales. La red ruteable incorpora vías residenciales, calles de convivencia, terciarias, de servicio, caminos y pasos peatonales o ciclistas cartografiados. Se excluyen de la ruta principal carreteras primary, trunk, motorways, enlaces y otras infraestructuras de alta capacidad.</w:t>
      </w:r>
    </w:p>
    <w:p>
      <w:pPr>
        <w:spacing w:after="120" w:line="259" w:lineRule="auto"/>
      </w:pPr>
      <w:r>
        <w:rPr>
          <w:sz w:val="18"/>
        </w:rPr>
        <w:t>Para cada municipio se selecciona un origen urbano OSM y se calcula una ruta de coste mínimo mediante Dijkstra hasta el anclaje del centro. Se obtienen longitud de ruta, proporción por viario de baja intensidad, proporción por viario secundario y factor de rodeo. La incorporación de pasos y calles urbanas evita falsos cortes de conectividad. Cuando el punto exacto del centro cae sobre una micro-red aislada de OSM y existe una red urbana ruteable a 120 m o menos, se incorpora un conector local controlado: se muestra en la ficha como evidencia derivada y debe validarse en campo. No se utiliza para atravesar barreras de gran escala ni para cruzar infraestructuras sin conexión. Cuando no existe ruta ni conector controlado, el registro se marca para validación de campo: no se interpreta automáticamente como ausencia física de acceso.</w:t>
      </w:r>
    </w:p>
    <w:p>
      <w:pPr>
        <w:spacing w:before="180" w:after="100"/>
      </w:pPr>
      <w:r>
        <w:rPr>
          <w:b/>
          <w:color w:val="3D3D3D"/>
          <w:sz w:val="21"/>
        </w:rPr>
        <w:t>3.5. Seguridad vial e IMD de los aforos</w:t>
      </w:r>
    </w:p>
    <w:p>
      <w:pPr>
        <w:spacing w:after="120" w:line="259" w:lineRule="auto"/>
      </w:pPr>
      <w:r>
        <w:rPr>
          <w:sz w:val="18"/>
        </w:rPr>
        <w:t>La seguridad se basa en la exposición efectiva de la ruta, no en una banda circular alrededor de una autopista. Se extraen las IMD de las estaciones y tramos del Libro de Aforos de Bizkaia 2025 y se vinculan a las referencias de carretera disponibles en OpenStreetMap. El modelo calcula una IMD media ponderada por longitud de recorrido, la IMD máxima asociada y el porcentaje de la ruta con cobertura directa de referencia de aforo.</w:t>
      </w:r>
    </w:p>
    <w:tbl>
      <w:tblPr>
        <w:tblStyle w:val="Tablaconcuadrcula"/>
        <w:tblW w:type="auto" w:w="0"/>
        <w:tblLook w:firstColumn="1" w:firstRow="1" w:lastColumn="0" w:lastRow="0" w:noHBand="0" w:noVBand="1" w:val="04A0"/>
        <w:tblBorders>
          <w:top w:val="single" w:sz="4" w:color="9B2D30"/>
          <w:left w:val="single" w:sz="4" w:color="9B2D30"/>
          <w:bottom w:val="single" w:sz="4" w:color="9B2D30"/>
          <w:right w:val="single" w:sz="4" w:color="9B2D30"/>
          <w:insideH w:val="single" w:sz="4" w:color="9B2D30"/>
          <w:insideV w:val="single" w:sz="4" w:color="9B2D30"/>
        </w:tblBorders>
      </w:tblPr>
      <w:tblGrid>
        <w:gridCol w:w="9978"/>
      </w:tblGrid>
      <w:tr>
        <w:tc>
          <w:tcPr>
            <w:tcW w:type="dxa" w:w="9978"/>
            <w:shd w:fill="F9EEEE"/>
            <w:vAlign w:val="center"/>
          </w:tcPr>
          <w:p>
            <w:r>
              <w:rPr>
                <w:b w:val="0"/>
                <w:color w:val="3D3D3D"/>
                <w:sz w:val="16"/>
              </w:rPr>
              <w:t>Criterio aplicado. La proximidad a una infraestructura de alta capacidad se conserva como información de contexto, pero no activa por sí sola una barrera. Una autopista próxima, como la AP-68 en Arrigorriaga, solo resulta relevante si la ruta calculada la cruza o se apoya en ella; la seguridad de la ruta no se penaliza por proximidad geométrica.</w:t>
            </w:r>
          </w:p>
        </w:tc>
      </w:tr>
    </w:tbl>
    <w:p>
      <w:pPr>
        <w:spacing w:after="80"/>
      </w:pPr>
    </w:p>
    <w:p>
      <w:pPr>
        <w:spacing w:before="180" w:after="100"/>
      </w:pPr>
      <w:r>
        <w:rPr>
          <w:b/>
          <w:color w:val="3D3D3D"/>
          <w:sz w:val="21"/>
        </w:rPr>
        <w:t>3.6. Pendiente, transporte público y bici pública</w:t>
      </w:r>
    </w:p>
    <w:p>
      <w:pPr>
        <w:spacing w:after="120" w:line="259" w:lineRule="auto"/>
      </w:pPr>
      <w:r>
        <w:rPr>
          <w:sz w:val="18"/>
        </w:rPr>
        <w:t>La pendiente se estima para el entorno del centro a partir de elevación territorial. Se utiliza tanto para puntuar el esfuerzo ciclable como para modular la velocidad de expansión de las isócronas. La intermodalidad considera paradas de bus, metro y tren como contexto de acceso; las capas se diferencian visualmente en el mapa. La proximidad a estaciones Bizkaibizi o Bilbaobizi se incorpora como un vector auxiliar de micromovilidad: complementa la red, pero no sustituye la continuidad de un itinerario seguro.</w:t>
      </w:r>
    </w:p>
    <w:p>
      <w:pPr>
        <w:jc w:val="center"/>
      </w:pPr>
      <w:r>
        <w:drawing>
          <wp:inline xmlns:a="http://schemas.openxmlformats.org/drawingml/2006/main" xmlns:pic="http://schemas.openxmlformats.org/drawingml/2006/picture">
            <wp:extent cx="5616000" cy="2419542"/>
            <wp:docPr id="1" name="Picture 1"/>
            <wp:cNvGraphicFramePr>
              <a:graphicFrameLocks noChangeAspect="1"/>
            </wp:cNvGraphicFramePr>
            <a:graphic>
              <a:graphicData uri="http://schemas.openxmlformats.org/drawingml/2006/picture">
                <pic:pic>
                  <pic:nvPicPr>
                    <pic:cNvPr id="0" name="esquema_metodologico_v7.png"/>
                    <pic:cNvPicPr/>
                  </pic:nvPicPr>
                  <pic:blipFill>
                    <a:blip r:embed="rId26"/>
                    <a:stretch>
                      <a:fillRect/>
                    </a:stretch>
                  </pic:blipFill>
                  <pic:spPr>
                    <a:xfrm>
                      <a:off x="0" y="0"/>
                      <a:ext cx="5616000" cy="2419542"/>
                    </a:xfrm>
                    <a:prstGeom prst="rect"/>
                  </pic:spPr>
                </pic:pic>
              </a:graphicData>
            </a:graphic>
          </wp:inline>
        </w:drawing>
      </w:r>
    </w:p>
    <w:p>
      <w:pPr>
        <w:pStyle w:val="Descripcin"/>
        <w:spacing w:after="160"/>
        <w:jc w:val="center"/>
      </w:pPr>
      <w:r>
        <w:rPr>
          <w:color w:val="6E6E6E"/>
          <w:sz w:val="16"/>
        </w:rPr>
        <w:t>Ilustración 1. Esquema de preparación, cálculo de indicadores y clasificación.</w:t>
      </w:r>
    </w:p>
    <w:p>
      <w:pPr>
        <w:spacing w:before="240" w:after="140"/>
      </w:pPr>
      <w:r>
        <w:rPr>
          <w:b/>
          <w:color w:val="9B2D30"/>
          <w:sz w:val="31"/>
        </w:rPr>
        <w:t>4. Isócronas, cartografía y datos descargables</w:t>
      </w:r>
    </w:p>
    <w:p>
      <w:pPr>
        <w:spacing w:before="180" w:after="100"/>
      </w:pPr>
      <w:r>
        <w:rPr>
          <w:b/>
          <w:color w:val="3D3D3D"/>
          <w:sz w:val="21"/>
        </w:rPr>
        <w:t>4.1. Construcción de isócronas</w:t>
      </w:r>
    </w:p>
    <w:p>
      <w:pPr>
        <w:spacing w:after="120" w:line="259" w:lineRule="auto"/>
      </w:pPr>
      <w:r>
        <w:rPr>
          <w:sz w:val="18"/>
        </w:rPr>
        <w:t>La versión actual incorpora 1.720 isócronas ciclistas: cuatro umbrales temporales —5, 10, 30 y 40 minutos— para cada uno de los 430 centros. Las geometrías se generan mediante Dijkstra sobre la red ruteable y por ello adoptan formas irregulares que siguen calles, caminos, pasos y restricciones de acceso. No se utilizan círculos concéntricos.</w:t>
      </w:r>
    </w:p>
    <w:p>
      <w:pPr>
        <w:spacing w:after="120" w:line="259" w:lineRule="auto"/>
      </w:pPr>
      <w:r>
        <w:rPr>
          <w:sz w:val="18"/>
        </w:rPr>
        <w:t>La velocidad de desplazamiento parte de un valor de referencia y se ajusta por la pendiente de entorno. Los tramos secundarios reciben penalización temporal como medida de prudencia. Esta representación ofrece una aproximación de accesibilidad de red y no una simulación completa de comportamiento individual: no incorpora semáforos, tráfico horario, obras temporales, calidad de pavimento, percepción de seguridad ni meteorología.</w:t>
      </w:r>
    </w:p>
    <w:p>
      <w:pPr>
        <w:spacing w:before="180" w:after="100"/>
      </w:pPr>
      <w:r>
        <w:rPr>
          <w:b/>
          <w:color w:val="3D3D3D"/>
          <w:sz w:val="21"/>
        </w:rPr>
        <w:t>4.2. Lectura cartográfica</w:t>
      </w:r>
    </w:p>
    <w:p>
      <w:pPr>
        <w:spacing w:after="120" w:line="259" w:lineRule="auto"/>
      </w:pPr>
      <w:r>
        <w:rPr>
          <w:sz w:val="18"/>
        </w:rPr>
        <w:t>La cartografía base se sirve con CARTO Positron y atribución visible de OpenStreetMap y CARTO. Sobre ella se pueden activar o desactivar centros, red ciclista, isócronas, bus, metro, tren/cercanías, estaciones de bici pública y registros excluidos. Los botones verde, naranja, rojo y morado permiten filtrar al vuelo las prioridades Alta, Media, Baja y los nodos de FP/universidad, sin abandonar el contexto del mapa.</w:t>
      </w:r>
    </w:p>
    <w:p>
      <w:pPr>
        <w:spacing w:before="180" w:after="100"/>
      </w:pPr>
      <w:r>
        <w:rPr>
          <w:b/>
          <w:color w:val="3D3D3D"/>
          <w:sz w:val="21"/>
        </w:rPr>
        <w:t>4.3. Paquetes GIS</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3326"/>
        <w:gridCol w:w="3326"/>
        <w:gridCol w:w="3326"/>
      </w:tblGrid>
      <w:tr>
        <w:tc>
          <w:tcPr>
            <w:tcW w:type="dxa" w:w="2551"/>
            <w:shd w:fill="9B2D30"/>
            <w:vAlign w:val="center"/>
          </w:tcPr>
          <w:p>
            <w:r>
              <w:rPr>
                <w:b/>
                <w:color w:val="FFFFFF"/>
                <w:sz w:val="16"/>
              </w:rPr>
              <w:t>Paquete</w:t>
            </w:r>
          </w:p>
        </w:tc>
        <w:tc>
          <w:tcPr>
            <w:tcW w:type="dxa" w:w="3515"/>
            <w:shd w:fill="9B2D30"/>
            <w:vAlign w:val="center"/>
          </w:tcPr>
          <w:p>
            <w:r>
              <w:rPr>
                <w:b/>
                <w:color w:val="FFFFFF"/>
                <w:sz w:val="16"/>
              </w:rPr>
              <w:t>Contenido</w:t>
            </w:r>
          </w:p>
        </w:tc>
        <w:tc>
          <w:tcPr>
            <w:tcW w:type="dxa" w:w="2778"/>
            <w:shd w:fill="9B2D30"/>
            <w:vAlign w:val="center"/>
          </w:tcPr>
          <w:p>
            <w:r>
              <w:rPr>
                <w:b/>
                <w:color w:val="FFFFFF"/>
                <w:sz w:val="16"/>
              </w:rPr>
              <w:t>Uso recomendado</w:t>
            </w:r>
          </w:p>
        </w:tc>
      </w:tr>
      <w:tr>
        <w:tc>
          <w:tcPr>
            <w:tcW w:type="dxa" w:w="2551"/>
            <w:vAlign w:val="center"/>
          </w:tcPr>
          <w:p>
            <w:r>
              <w:rPr>
                <w:b w:val="0"/>
                <w:sz w:val="16"/>
              </w:rPr>
              <w:t>centros_educativos_v6.zip</w:t>
            </w:r>
          </w:p>
        </w:tc>
        <w:tc>
          <w:tcPr>
            <w:tcW w:type="dxa" w:w="3515"/>
            <w:vAlign w:val="center"/>
          </w:tcPr>
          <w:p>
            <w:r>
              <w:rPr>
                <w:b w:val="0"/>
                <w:sz w:val="16"/>
              </w:rPr>
              <w:t>Centros, prioridad, alumnado e indicadores principales</w:t>
            </w:r>
          </w:p>
        </w:tc>
        <w:tc>
          <w:tcPr>
            <w:tcW w:type="dxa" w:w="2778"/>
            <w:vAlign w:val="center"/>
          </w:tcPr>
          <w:p>
            <w:r>
              <w:rPr>
                <w:b w:val="0"/>
                <w:sz w:val="16"/>
              </w:rPr>
              <w:t>Análisis tabular y GIS</w:t>
            </w:r>
          </w:p>
        </w:tc>
      </w:tr>
      <w:tr>
        <w:tc>
          <w:tcPr>
            <w:tcW w:type="dxa" w:w="2551"/>
            <w:shd w:fill="F3F3F3"/>
            <w:vAlign w:val="center"/>
          </w:tcPr>
          <w:p>
            <w:r>
              <w:rPr>
                <w:b w:val="0"/>
                <w:sz w:val="16"/>
              </w:rPr>
              <w:t>centros_excluidos.zip</w:t>
            </w:r>
          </w:p>
        </w:tc>
        <w:tc>
          <w:tcPr>
            <w:tcW w:type="dxa" w:w="3515"/>
            <w:shd w:fill="F3F3F3"/>
            <w:vAlign w:val="center"/>
          </w:tcPr>
          <w:p>
            <w:r>
              <w:rPr>
                <w:b w:val="0"/>
                <w:sz w:val="16"/>
              </w:rPr>
              <w:t>Registros de contexto no evaluados</w:t>
            </w:r>
          </w:p>
        </w:tc>
        <w:tc>
          <w:tcPr>
            <w:tcW w:type="dxa" w:w="2778"/>
            <w:shd w:fill="F3F3F3"/>
            <w:vAlign w:val="center"/>
          </w:tcPr>
          <w:p>
            <w:r>
              <w:rPr>
                <w:b w:val="0"/>
                <w:sz w:val="16"/>
              </w:rPr>
              <w:t>Auditoría del universo</w:t>
            </w:r>
          </w:p>
        </w:tc>
      </w:tr>
      <w:tr>
        <w:tc>
          <w:tcPr>
            <w:tcW w:type="dxa" w:w="2551"/>
            <w:vAlign w:val="center"/>
          </w:tcPr>
          <w:p>
            <w:r>
              <w:rPr>
                <w:b w:val="0"/>
                <w:sz w:val="16"/>
              </w:rPr>
              <w:t>paradas_bus.zip</w:t>
            </w:r>
          </w:p>
        </w:tc>
        <w:tc>
          <w:tcPr>
            <w:tcW w:type="dxa" w:w="3515"/>
            <w:vAlign w:val="center"/>
          </w:tcPr>
          <w:p>
            <w:r>
              <w:rPr>
                <w:b w:val="0"/>
                <w:sz w:val="16"/>
              </w:rPr>
              <w:t>Paradas Bizkaibus y Bilbobus</w:t>
            </w:r>
          </w:p>
        </w:tc>
        <w:tc>
          <w:tcPr>
            <w:tcW w:type="dxa" w:w="2778"/>
            <w:vAlign w:val="center"/>
          </w:tcPr>
          <w:p>
            <w:r>
              <w:rPr>
                <w:b w:val="0"/>
                <w:sz w:val="16"/>
              </w:rPr>
              <w:t>Intermodalidad local</w:t>
            </w:r>
          </w:p>
        </w:tc>
      </w:tr>
      <w:tr>
        <w:tc>
          <w:tcPr>
            <w:tcW w:type="dxa" w:w="2551"/>
            <w:shd w:fill="F3F3F3"/>
            <w:vAlign w:val="center"/>
          </w:tcPr>
          <w:p>
            <w:r>
              <w:rPr>
                <w:b w:val="0"/>
                <w:sz w:val="16"/>
              </w:rPr>
              <w:t>paradas_metro_tren.zip</w:t>
            </w:r>
          </w:p>
        </w:tc>
        <w:tc>
          <w:tcPr>
            <w:tcW w:type="dxa" w:w="3515"/>
            <w:shd w:fill="F3F3F3"/>
            <w:vAlign w:val="center"/>
          </w:tcPr>
          <w:p>
            <w:r>
              <w:rPr>
                <w:b w:val="0"/>
                <w:sz w:val="16"/>
              </w:rPr>
              <w:t>Estaciones de Metro Bilbao, tren y cercanías</w:t>
            </w:r>
          </w:p>
        </w:tc>
        <w:tc>
          <w:tcPr>
            <w:tcW w:type="dxa" w:w="2778"/>
            <w:shd w:fill="F3F3F3"/>
            <w:vAlign w:val="center"/>
          </w:tcPr>
          <w:p>
            <w:r>
              <w:rPr>
                <w:b w:val="0"/>
                <w:sz w:val="16"/>
              </w:rPr>
              <w:t>Intermodalidad estructurante</w:t>
            </w:r>
          </w:p>
        </w:tc>
      </w:tr>
      <w:tr>
        <w:tc>
          <w:tcPr>
            <w:tcW w:type="dxa" w:w="2551"/>
            <w:vAlign w:val="center"/>
          </w:tcPr>
          <w:p>
            <w:r>
              <w:rPr>
                <w:b w:val="0"/>
                <w:sz w:val="16"/>
              </w:rPr>
              <w:t>red_ciclista_completa_v6.zip</w:t>
            </w:r>
          </w:p>
        </w:tc>
        <w:tc>
          <w:tcPr>
            <w:tcW w:type="dxa" w:w="3515"/>
            <w:vAlign w:val="center"/>
          </w:tcPr>
          <w:p>
            <w:r>
              <w:rPr>
                <w:b w:val="0"/>
                <w:sz w:val="16"/>
              </w:rPr>
              <w:t>Red ejecutada, en construcción, planeada y ejes</w:t>
            </w:r>
          </w:p>
        </w:tc>
        <w:tc>
          <w:tcPr>
            <w:tcW w:type="dxa" w:w="2778"/>
            <w:vAlign w:val="center"/>
          </w:tcPr>
          <w:p>
            <w:r>
              <w:rPr>
                <w:b w:val="0"/>
                <w:sz w:val="16"/>
              </w:rPr>
              <w:t>Diagnóstico de conectividad</w:t>
            </w:r>
          </w:p>
        </w:tc>
      </w:tr>
      <w:tr>
        <w:tc>
          <w:tcPr>
            <w:tcW w:type="dxa" w:w="2551"/>
            <w:shd w:fill="F3F3F3"/>
            <w:vAlign w:val="center"/>
          </w:tcPr>
          <w:p>
            <w:r>
              <w:rPr>
                <w:b w:val="0"/>
                <w:sz w:val="16"/>
              </w:rPr>
              <w:t>isocronas_centros_v6.zip</w:t>
            </w:r>
          </w:p>
        </w:tc>
        <w:tc>
          <w:tcPr>
            <w:tcW w:type="dxa" w:w="3515"/>
            <w:shd w:fill="F3F3F3"/>
            <w:vAlign w:val="center"/>
          </w:tcPr>
          <w:p>
            <w:r>
              <w:rPr>
                <w:b w:val="0"/>
                <w:sz w:val="16"/>
              </w:rPr>
              <w:t>Polígonos 5, 10, 30 y 40 minutos</w:t>
            </w:r>
          </w:p>
        </w:tc>
        <w:tc>
          <w:tcPr>
            <w:tcW w:type="dxa" w:w="2778"/>
            <w:shd w:fill="F3F3F3"/>
            <w:vAlign w:val="center"/>
          </w:tcPr>
          <w:p>
            <w:r>
              <w:rPr>
                <w:b w:val="0"/>
                <w:sz w:val="16"/>
              </w:rPr>
              <w:t>Accesibilidad de red</w:t>
            </w:r>
          </w:p>
        </w:tc>
      </w:tr>
    </w:tbl>
    <w:p>
      <w:pPr>
        <w:spacing w:after="40"/>
      </w:pPr>
    </w:p>
    <w:p>
      <w:pPr>
        <w:spacing w:after="120" w:line="259" w:lineRule="auto"/>
      </w:pPr>
      <w:r>
        <w:rPr>
          <w:sz w:val="18"/>
        </w:rPr>
        <w:t>Los paquetes se entregan en Shapefile y se incluyen de forma individual y agrupada en el panel de descargas del informe. Debido al límite técnico del formato Shapefile, algunos nombres de atributo se abrevian a diez caracteres; la base CSV mantiene la nomenclatura completa definida en el diccionario de variables.</w:t>
      </w:r>
    </w:p>
    <w:p>
      <w:pPr>
        <w:spacing w:before="240" w:after="140"/>
      </w:pPr>
      <w:r>
        <w:rPr>
          <w:b/>
          <w:color w:val="9B2D30"/>
          <w:sz w:val="31"/>
        </w:rPr>
        <w:t>5. Modelo de prioridad y configuración de pesos</w:t>
      </w:r>
    </w:p>
    <w:p>
      <w:pPr>
        <w:spacing w:before="180" w:after="100"/>
      </w:pPr>
      <w:r>
        <w:rPr>
          <w:b/>
          <w:color w:val="3D3D3D"/>
          <w:sz w:val="21"/>
        </w:rPr>
        <w:t>5.1. Dimensiones y pesos propuestos</w:t>
      </w:r>
    </w:p>
    <w:p>
      <w:pPr>
        <w:spacing w:after="120" w:line="259" w:lineRule="auto"/>
      </w:pPr>
      <w:r>
        <w:rPr>
          <w:sz w:val="18"/>
        </w:rPr>
        <w:t>La propuesta de pesos toma como referencia los manuales de diseño ciclista facilitados, que priorizan continuidad, bajo volumen y velocidad de tráfico, seguridad de cruces y legibilidad de la red. Conectividad, capilaridad y seguridad suman el 60 % del modelo porque representan las condiciones físicas que permiten o impiden un desplazamiento autónomo. La demanda expresa el impacto potencial, mientras que pendiente, intermodalidad y bici pública completan la lectura territorial.</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3326"/>
        <w:gridCol w:w="3326"/>
        <w:gridCol w:w="3326"/>
      </w:tblGrid>
      <w:tr>
        <w:tc>
          <w:tcPr>
            <w:tcW w:type="dxa" w:w="2381"/>
            <w:shd w:fill="9B2D30"/>
            <w:vAlign w:val="center"/>
          </w:tcPr>
          <w:p>
            <w:r>
              <w:rPr>
                <w:b/>
                <w:color w:val="FFFFFF"/>
                <w:sz w:val="16"/>
              </w:rPr>
              <w:t>Dimensión</w:t>
            </w:r>
          </w:p>
        </w:tc>
        <w:tc>
          <w:tcPr>
            <w:tcW w:type="dxa" w:w="1757"/>
            <w:shd w:fill="9B2D30"/>
            <w:vAlign w:val="center"/>
          </w:tcPr>
          <w:p>
            <w:r>
              <w:rPr>
                <w:b/>
                <w:color w:val="FFFFFF"/>
                <w:sz w:val="16"/>
              </w:rPr>
              <w:t>Peso por defecto</w:t>
            </w:r>
          </w:p>
        </w:tc>
        <w:tc>
          <w:tcPr>
            <w:tcW w:type="dxa" w:w="4706"/>
            <w:shd w:fill="9B2D30"/>
            <w:vAlign w:val="center"/>
          </w:tcPr>
          <w:p>
            <w:r>
              <w:rPr>
                <w:b/>
                <w:color w:val="FFFFFF"/>
                <w:sz w:val="16"/>
              </w:rPr>
              <w:t>Justificación funcional</w:t>
            </w:r>
          </w:p>
        </w:tc>
      </w:tr>
      <w:tr>
        <w:tc>
          <w:tcPr>
            <w:tcW w:type="dxa" w:w="2381"/>
            <w:vAlign w:val="center"/>
          </w:tcPr>
          <w:p>
            <w:r>
              <w:rPr>
                <w:b w:val="0"/>
                <w:sz w:val="16"/>
              </w:rPr>
              <w:t>Demanda</w:t>
            </w:r>
          </w:p>
        </w:tc>
        <w:tc>
          <w:tcPr>
            <w:tcW w:type="dxa" w:w="1757"/>
            <w:vAlign w:val="center"/>
          </w:tcPr>
          <w:p>
            <w:r>
              <w:rPr>
                <w:b w:val="0"/>
                <w:sz w:val="16"/>
              </w:rPr>
              <w:t>15 %</w:t>
            </w:r>
          </w:p>
        </w:tc>
        <w:tc>
          <w:tcPr>
            <w:tcW w:type="dxa" w:w="4706"/>
            <w:vAlign w:val="center"/>
          </w:tcPr>
          <w:p>
            <w:r>
              <w:rPr>
                <w:b w:val="0"/>
                <w:sz w:val="16"/>
              </w:rPr>
              <w:t>Masa crítica de alumnado y concentración relativa sin sesgo de municipio grande</w:t>
            </w:r>
          </w:p>
        </w:tc>
      </w:tr>
      <w:tr>
        <w:tc>
          <w:tcPr>
            <w:tcW w:type="dxa" w:w="2381"/>
            <w:shd w:fill="F3F3F3"/>
            <w:vAlign w:val="center"/>
          </w:tcPr>
          <w:p>
            <w:r>
              <w:rPr>
                <w:b w:val="0"/>
                <w:sz w:val="16"/>
              </w:rPr>
              <w:t>Conectividad</w:t>
            </w:r>
          </w:p>
        </w:tc>
        <w:tc>
          <w:tcPr>
            <w:tcW w:type="dxa" w:w="1757"/>
            <w:shd w:fill="F3F3F3"/>
            <w:vAlign w:val="center"/>
          </w:tcPr>
          <w:p>
            <w:r>
              <w:rPr>
                <w:b w:val="0"/>
                <w:sz w:val="16"/>
              </w:rPr>
              <w:t>20 %</w:t>
            </w:r>
          </w:p>
        </w:tc>
        <w:tc>
          <w:tcPr>
            <w:tcW w:type="dxa" w:w="4706"/>
            <w:shd w:fill="F3F3F3"/>
            <w:vAlign w:val="center"/>
          </w:tcPr>
          <w:p>
            <w:r>
              <w:rPr>
                <w:b w:val="0"/>
                <w:sz w:val="16"/>
              </w:rPr>
              <w:t>Acceso próximo y suficiente a red ciclista inventariada</w:t>
            </w:r>
          </w:p>
        </w:tc>
      </w:tr>
      <w:tr>
        <w:tc>
          <w:tcPr>
            <w:tcW w:type="dxa" w:w="2381"/>
            <w:vAlign w:val="center"/>
          </w:tcPr>
          <w:p>
            <w:r>
              <w:rPr>
                <w:b w:val="0"/>
                <w:sz w:val="16"/>
              </w:rPr>
              <w:t>Capilaridad</w:t>
            </w:r>
          </w:p>
        </w:tc>
        <w:tc>
          <w:tcPr>
            <w:tcW w:type="dxa" w:w="1757"/>
            <w:vAlign w:val="center"/>
          </w:tcPr>
          <w:p>
            <w:r>
              <w:rPr>
                <w:b w:val="0"/>
                <w:sz w:val="16"/>
              </w:rPr>
              <w:t>20 %</w:t>
            </w:r>
          </w:p>
        </w:tc>
        <w:tc>
          <w:tcPr>
            <w:tcW w:type="dxa" w:w="4706"/>
            <w:vAlign w:val="center"/>
          </w:tcPr>
          <w:p>
            <w:r>
              <w:rPr>
                <w:b w:val="0"/>
                <w:sz w:val="16"/>
              </w:rPr>
              <w:t>Existencia de itinerarios por calles locales o de baja intensidad</w:t>
            </w:r>
          </w:p>
        </w:tc>
      </w:tr>
      <w:tr>
        <w:tc>
          <w:tcPr>
            <w:tcW w:type="dxa" w:w="2381"/>
            <w:shd w:fill="F3F3F3"/>
            <w:vAlign w:val="center"/>
          </w:tcPr>
          <w:p>
            <w:r>
              <w:rPr>
                <w:b w:val="0"/>
                <w:sz w:val="16"/>
              </w:rPr>
              <w:t>Seguridad</w:t>
            </w:r>
          </w:p>
        </w:tc>
        <w:tc>
          <w:tcPr>
            <w:tcW w:type="dxa" w:w="1757"/>
            <w:shd w:fill="F3F3F3"/>
            <w:vAlign w:val="center"/>
          </w:tcPr>
          <w:p>
            <w:r>
              <w:rPr>
                <w:b w:val="0"/>
                <w:sz w:val="16"/>
              </w:rPr>
              <w:t>20 %</w:t>
            </w:r>
          </w:p>
        </w:tc>
        <w:tc>
          <w:tcPr>
            <w:tcW w:type="dxa" w:w="4706"/>
            <w:shd w:fill="F3F3F3"/>
            <w:vAlign w:val="center"/>
          </w:tcPr>
          <w:p>
            <w:r>
              <w:rPr>
                <w:b w:val="0"/>
                <w:sz w:val="16"/>
              </w:rPr>
              <w:t>Exposición efectiva a IMD y a viario secundario en la ruta</w:t>
            </w:r>
          </w:p>
        </w:tc>
      </w:tr>
      <w:tr>
        <w:tc>
          <w:tcPr>
            <w:tcW w:type="dxa" w:w="2381"/>
            <w:vAlign w:val="center"/>
          </w:tcPr>
          <w:p>
            <w:r>
              <w:rPr>
                <w:b w:val="0"/>
                <w:sz w:val="16"/>
              </w:rPr>
              <w:t>Pendientes</w:t>
            </w:r>
          </w:p>
        </w:tc>
        <w:tc>
          <w:tcPr>
            <w:tcW w:type="dxa" w:w="1757"/>
            <w:vAlign w:val="center"/>
          </w:tcPr>
          <w:p>
            <w:r>
              <w:rPr>
                <w:b w:val="0"/>
                <w:sz w:val="16"/>
              </w:rPr>
              <w:t>10 %</w:t>
            </w:r>
          </w:p>
        </w:tc>
        <w:tc>
          <w:tcPr>
            <w:tcW w:type="dxa" w:w="4706"/>
            <w:vAlign w:val="center"/>
          </w:tcPr>
          <w:p>
            <w:r>
              <w:rPr>
                <w:b w:val="0"/>
                <w:sz w:val="16"/>
              </w:rPr>
              <w:t>Esfuerzo y autonomía ciclista condicionados por orografía</w:t>
            </w:r>
          </w:p>
        </w:tc>
      </w:tr>
      <w:tr>
        <w:tc>
          <w:tcPr>
            <w:tcW w:type="dxa" w:w="2381"/>
            <w:shd w:fill="F3F3F3"/>
            <w:vAlign w:val="center"/>
          </w:tcPr>
          <w:p>
            <w:r>
              <w:rPr>
                <w:b w:val="0"/>
                <w:sz w:val="16"/>
              </w:rPr>
              <w:t>Bici pública</w:t>
            </w:r>
          </w:p>
        </w:tc>
        <w:tc>
          <w:tcPr>
            <w:tcW w:type="dxa" w:w="1757"/>
            <w:shd w:fill="F3F3F3"/>
            <w:vAlign w:val="center"/>
          </w:tcPr>
          <w:p>
            <w:r>
              <w:rPr>
                <w:b w:val="0"/>
                <w:sz w:val="16"/>
              </w:rPr>
              <w:t>5 %</w:t>
            </w:r>
          </w:p>
        </w:tc>
        <w:tc>
          <w:tcPr>
            <w:tcW w:type="dxa" w:w="4706"/>
            <w:shd w:fill="F3F3F3"/>
            <w:vAlign w:val="center"/>
          </w:tcPr>
          <w:p>
            <w:r>
              <w:rPr>
                <w:b w:val="0"/>
                <w:sz w:val="16"/>
              </w:rPr>
              <w:t>Apoyo de última milla y familiarización modal</w:t>
            </w:r>
          </w:p>
        </w:tc>
      </w:tr>
      <w:tr>
        <w:tc>
          <w:tcPr>
            <w:tcW w:type="dxa" w:w="2381"/>
            <w:vAlign w:val="center"/>
          </w:tcPr>
          <w:p>
            <w:r>
              <w:rPr>
                <w:b w:val="0"/>
                <w:sz w:val="16"/>
              </w:rPr>
              <w:t>Intermodalidad</w:t>
            </w:r>
          </w:p>
        </w:tc>
        <w:tc>
          <w:tcPr>
            <w:tcW w:type="dxa" w:w="1757"/>
            <w:vAlign w:val="center"/>
          </w:tcPr>
          <w:p>
            <w:r>
              <w:rPr>
                <w:b w:val="0"/>
                <w:sz w:val="16"/>
              </w:rPr>
              <w:t>10 %</w:t>
            </w:r>
          </w:p>
        </w:tc>
        <w:tc>
          <w:tcPr>
            <w:tcW w:type="dxa" w:w="4706"/>
            <w:vAlign w:val="center"/>
          </w:tcPr>
          <w:p>
            <w:r>
              <w:rPr>
                <w:b w:val="0"/>
                <w:sz w:val="16"/>
              </w:rPr>
              <w:t>Acceso combinado con bus, metro y tren</w:t>
            </w:r>
          </w:p>
        </w:tc>
      </w:tr>
    </w:tbl>
    <w:p>
      <w:pPr>
        <w:spacing w:after="40"/>
      </w:pPr>
    </w:p>
    <w:p>
      <w:pPr>
        <w:spacing w:before="180" w:after="100"/>
      </w:pPr>
      <w:r>
        <w:rPr>
          <w:b/>
          <w:color w:val="3D3D3D"/>
          <w:sz w:val="21"/>
        </w:rPr>
        <w:t>5.2. Cálculo, renormalización y barreras</w:t>
      </w:r>
    </w:p>
    <w:p>
      <w:pPr>
        <w:spacing w:after="120" w:line="259" w:lineRule="auto"/>
      </w:pPr>
      <w:r>
        <w:rPr>
          <w:sz w:val="18"/>
        </w:rPr>
        <w:t>Cada dimensión se normaliza en una escala de 0 a 5 y se pondera según su peso. Si una dimensión no dispone de información se excluye temporalmente del denominador, por lo que el resultado se expresa con su cobertura de cálculo. El modelo requiere que las dimensiones disponibles alcancen el 50 % del peso total. El intervalo de incertidumbre aumenta cuando la cobertura disminuye y la ficha informa del estado de completitud —completa, amplia o parcial—. Esta lectura se refiere exclusivamente a la disponibilidad de dimensiones, no a la fiabilidad de las fuentes.</w:t>
      </w:r>
    </w:p>
    <w:p>
      <w:pPr>
        <w:spacing w:after="120" w:line="259" w:lineRule="auto"/>
      </w:pPr>
      <w:r>
        <w:rPr>
          <w:sz w:val="18"/>
        </w:rPr>
        <w:t>La prioridad Alta requiere una puntuación igual o superior a 3,5; la Media se sitúa entre 2,5 y 3,4; y la Baja queda por debajo de 2,5. La presencia de una barrera crítica impide asignar prioridad Alta; dos o más barreras sitúan el resultado en Baja. Las barreras se vinculan a ruta no disponible, exposición elevada documentada o pendiente extrema, y no a proxies exclusivamente geométricos.</w:t>
      </w:r>
    </w:p>
    <w:p>
      <w:pPr>
        <w:spacing w:before="180" w:after="100"/>
      </w:pPr>
      <w:r>
        <w:rPr>
          <w:b/>
          <w:color w:val="3D3D3D"/>
          <w:sz w:val="21"/>
        </w:rPr>
        <w:t>5.3. Configuración interactiva</w:t>
      </w:r>
    </w:p>
    <w:p>
      <w:pPr>
        <w:spacing w:after="120" w:line="259" w:lineRule="auto"/>
      </w:pPr>
      <w:r>
        <w:rPr>
          <w:sz w:val="18"/>
        </w:rPr>
        <w:t>El panel Pesos conserva siete controles deslizantes. Los valores se modifican en pasos de 5 puntos y la aplicación solo recalcula cuando suman 100 %. Al validar la suma, se actualizan puntuación, categorías, ranking, indicadores resumen, lista de centros, ficha abierta y colores de puntos del mapa. El botón Restablecer devuelve la configuración propuesta en esta memoria.</w:t>
      </w:r>
    </w:p>
    <w:p>
      <w:pPr>
        <w:jc w:val="center"/>
      </w:pPr>
      <w:r>
        <w:drawing>
          <wp:inline xmlns:a="http://schemas.openxmlformats.org/drawingml/2006/main" xmlns:pic="http://schemas.openxmlformats.org/drawingml/2006/picture">
            <wp:extent cx="5400000" cy="2480158"/>
            <wp:docPr id="2" name="Picture 2"/>
            <wp:cNvGraphicFramePr>
              <a:graphicFrameLocks noChangeAspect="1"/>
            </wp:cNvGraphicFramePr>
            <a:graphic>
              <a:graphicData uri="http://schemas.openxmlformats.org/drawingml/2006/picture">
                <pic:pic>
                  <pic:nvPicPr>
                    <pic:cNvPr id="0" name="grafico_prioridad_v7.png"/>
                    <pic:cNvPicPr/>
                  </pic:nvPicPr>
                  <pic:blipFill>
                    <a:blip r:embed="rId27"/>
                    <a:stretch>
                      <a:fillRect/>
                    </a:stretch>
                  </pic:blipFill>
                  <pic:spPr>
                    <a:xfrm>
                      <a:off x="0" y="0"/>
                      <a:ext cx="5400000" cy="2480158"/>
                    </a:xfrm>
                    <a:prstGeom prst="rect"/>
                  </pic:spPr>
                </pic:pic>
              </a:graphicData>
            </a:graphic>
          </wp:inline>
        </w:drawing>
      </w:r>
    </w:p>
    <w:p>
      <w:pPr>
        <w:pStyle w:val="Descripcin"/>
        <w:spacing w:after="160"/>
        <w:jc w:val="center"/>
      </w:pPr>
      <w:r>
        <w:rPr>
          <w:color w:val="6E6E6E"/>
          <w:sz w:val="16"/>
        </w:rPr>
        <w:t>Ilustración 2. Distribución de la prioridad territorial preliminar con los pesos por defecto.</w:t>
      </w:r>
    </w:p>
    <w:p>
      <w:pPr>
        <w:jc w:val="center"/>
      </w:pPr>
      <w:r>
        <w:drawing>
          <wp:inline xmlns:a="http://schemas.openxmlformats.org/drawingml/2006/main" xmlns:pic="http://schemas.openxmlformats.org/drawingml/2006/picture">
            <wp:extent cx="5400000" cy="2405222"/>
            <wp:docPr id="3" name="Picture 3"/>
            <wp:cNvGraphicFramePr>
              <a:graphicFrameLocks noChangeAspect="1"/>
            </wp:cNvGraphicFramePr>
            <a:graphic>
              <a:graphicData uri="http://schemas.openxmlformats.org/drawingml/2006/picture">
                <pic:pic>
                  <pic:nvPicPr>
                    <pic:cNvPr id="0" name="grafico_cobertura_v7.png"/>
                    <pic:cNvPicPr/>
                  </pic:nvPicPr>
                  <pic:blipFill>
                    <a:blip r:embed="rId28"/>
                    <a:stretch>
                      <a:fillRect/>
                    </a:stretch>
                  </pic:blipFill>
                  <pic:spPr>
                    <a:xfrm>
                      <a:off x="0" y="0"/>
                      <a:ext cx="5400000" cy="2405222"/>
                    </a:xfrm>
                    <a:prstGeom prst="rect"/>
                  </pic:spPr>
                </pic:pic>
              </a:graphicData>
            </a:graphic>
          </wp:inline>
        </w:drawing>
      </w:r>
    </w:p>
    <w:p>
      <w:pPr>
        <w:pStyle w:val="Descripcin"/>
        <w:spacing w:after="160"/>
        <w:jc w:val="center"/>
      </w:pPr>
      <w:r>
        <w:rPr>
          <w:color w:val="6E6E6E"/>
          <w:sz w:val="16"/>
        </w:rPr>
        <w:t>Ilustración 3. Cobertura de los principales bloques de datos en la versión analizada.</w:t>
      </w:r>
    </w:p>
    <w:p>
      <w:pPr>
        <w:spacing w:before="240" w:after="140"/>
      </w:pPr>
      <w:r>
        <w:rPr>
          <w:b/>
          <w:color w:val="9B2D30"/>
          <w:sz w:val="31"/>
        </w:rPr>
        <w:t>6. Resultados, límites y validación de campo</w:t>
      </w:r>
    </w:p>
    <w:p>
      <w:pPr>
        <w:spacing w:before="180" w:after="100"/>
      </w:pPr>
      <w:r>
        <w:rPr>
          <w:b/>
          <w:color w:val="3D3D3D"/>
          <w:sz w:val="21"/>
        </w:rPr>
        <w:t>6.1. Lectura de resultados</w:t>
      </w:r>
    </w:p>
    <w:p>
      <w:pPr>
        <w:spacing w:after="120" w:line="259" w:lineRule="auto"/>
      </w:pPr>
      <w:r>
        <w:rPr>
          <w:sz w:val="18"/>
        </w:rPr>
        <w:t>La distribución actual del modelo es de 196 centros de prioridad Alta, 159 de prioridad Media y 64 de prioridad Baja. La posición relativa varía si se ajustan los pesos, por lo que el visor debe utilizarse para explorar escenarios y no como un ranking rígido. La comparación entre centros es más sólida cuando ambos presentan cobertura alta y condiciones educativas similares.</w:t>
      </w:r>
    </w:p>
    <w:p>
      <w:pPr>
        <w:spacing w:before="180" w:after="100"/>
      </w:pPr>
      <w:r>
        <w:rPr>
          <w:b/>
          <w:color w:val="3D3D3D"/>
          <w:sz w:val="21"/>
        </w:rPr>
        <w:t>6.2. Principales limitaciones</w:t>
      </w:r>
    </w:p>
    <w:p>
      <w:pPr>
        <w:spacing w:after="60"/>
        <w:ind w:left="255" w:hanging="142"/>
      </w:pPr>
      <w:r>
        <w:rPr>
          <w:sz w:val="18"/>
        </w:rPr>
        <w:t>•  La IMD se vincula por carretera y tramo cuando la referencia está disponible; no equivale a una medición puntual en cada calle.</w:t>
      </w:r>
    </w:p>
    <w:p>
      <w:pPr>
        <w:spacing w:after="60"/>
        <w:ind w:left="255" w:hanging="142"/>
      </w:pPr>
      <w:r>
        <w:rPr>
          <w:sz w:val="18"/>
        </w:rPr>
        <w:t>•  La red ruteable depende de la actualización y completitud de OpenStreetMap, especialmente en pasos, caminos y restricciones de acceso.</w:t>
      </w:r>
    </w:p>
    <w:p>
      <w:pPr>
        <w:spacing w:after="60"/>
        <w:ind w:left="255" w:hanging="142"/>
      </w:pPr>
      <w:r>
        <w:rPr>
          <w:sz w:val="18"/>
        </w:rPr>
        <w:t>•  La pendiente es una aproximación territorial y no sustituye un levantamiento topográfico de proyecto.</w:t>
      </w:r>
    </w:p>
    <w:p>
      <w:pPr>
        <w:spacing w:after="60"/>
        <w:ind w:left="255" w:hanging="142"/>
      </w:pPr>
      <w:r>
        <w:rPr>
          <w:sz w:val="18"/>
        </w:rPr>
        <w:t>•  La matrícula de parte de FP y de varios nodos universitarios sigue pendiente de una fuente individual atribuible.</w:t>
      </w:r>
    </w:p>
    <w:p>
      <w:pPr>
        <w:spacing w:after="60"/>
        <w:ind w:left="255" w:hanging="142"/>
      </w:pPr>
      <w:r>
        <w:rPr>
          <w:sz w:val="18"/>
        </w:rPr>
        <w:t>•  Las isócronas son una accesibilidad teórica de red: no modelan tráfico horario, cruces, alumbrado, condiciones meteorológicas o percepción de seguridad.</w:t>
      </w:r>
    </w:p>
    <w:p>
      <w:pPr>
        <w:spacing w:before="180" w:after="100"/>
      </w:pPr>
      <w:r>
        <w:rPr>
          <w:b/>
          <w:color w:val="3D3D3D"/>
          <w:sz w:val="21"/>
        </w:rPr>
        <w:t>6.3. Recomendación de contraste</w:t>
      </w:r>
    </w:p>
    <w:p>
      <w:pPr>
        <w:spacing w:after="120" w:line="259" w:lineRule="auto"/>
      </w:pPr>
      <w:r>
        <w:rPr>
          <w:sz w:val="18"/>
        </w:rPr>
        <w:t>Antes de programar actuaciones se recomienda realizar una fase de verificación específica para los centros de mayor prioridad: recorridos de campo en hora punta, comprobación de continuidad de aceras y carriles, inventario de cruces, velocidad observada, siniestralidad, disponibilidad de aparcabicis, horarios escolares, encuestas a familias y alumnado y talleres de diagnóstico con los centros. Este contraste permitirá transformar una clasificación territorial en una cartera de intervenciones técnicamente definidas.</w:t>
      </w:r>
    </w:p>
    <w:p>
      <w:pPr>
        <w:spacing w:before="240" w:after="140"/>
      </w:pPr>
      <w:r>
        <w:rPr>
          <w:b/>
          <w:color w:val="9B2D30"/>
          <w:sz w:val="31"/>
        </w:rPr>
        <w:t>7. Referencias y anexos</w:t>
      </w:r>
    </w:p>
    <w:p>
      <w:pPr>
        <w:spacing w:before="180" w:after="100"/>
      </w:pPr>
      <w:r>
        <w:rPr>
          <w:b/>
          <w:color w:val="3D3D3D"/>
          <w:sz w:val="21"/>
        </w:rPr>
        <w:t>7.1. Referencias principales</w:t>
      </w:r>
    </w:p>
    <w:p>
      <w:pPr>
        <w:spacing w:after="80"/>
      </w:pPr>
      <w:r>
        <w:rPr>
          <w:color w:val="6E6E6E"/>
          <w:sz w:val="16"/>
        </w:rPr>
        <w:t>[1] Diputación Foral de Bizkaia. Evolución del tráfico en las carreteras de Bizkaia 2025. Libro de aforos. https://www.bizkaia.eus/documents/880315/24690440/Evoluci%C3%B3n+del+tr%C3%A1fico+en+las+carreteras+de+Bizkaia+2025.pdf/7b6d2a46-d9f3-9770-759e-d8ffb5e3ac84?t=1784872817339</w:t>
      </w:r>
    </w:p>
    <w:p>
      <w:pPr>
        <w:spacing w:after="80"/>
      </w:pPr>
      <w:r>
        <w:rPr>
          <w:color w:val="6E6E6E"/>
          <w:sz w:val="16"/>
        </w:rPr>
        <w:t>[2] Gobierno Vasco. Directorio de centros docentes no universitarios de Euskadi. Open Data Euskadi.</w:t>
      </w:r>
    </w:p>
    <w:p>
      <w:pPr>
        <w:spacing w:after="80"/>
      </w:pPr>
      <w:r>
        <w:rPr>
          <w:color w:val="6E6E6E"/>
          <w:sz w:val="16"/>
        </w:rPr>
        <w:t>[3] INE. Censo de Población 2025, población por municipio y grupos de edad.</w:t>
      </w:r>
    </w:p>
    <w:p>
      <w:pPr>
        <w:spacing w:after="80"/>
      </w:pPr>
      <w:r>
        <w:rPr>
          <w:color w:val="6E6E6E"/>
          <w:sz w:val="16"/>
        </w:rPr>
        <w:t>[4] Geofabrik. OpenStreetMap data extract: País Vasco. https://download.geofabrik.de/europe/spain/pais-vasco.html</w:t>
      </w:r>
    </w:p>
    <w:p>
      <w:pPr>
        <w:spacing w:after="80"/>
      </w:pPr>
      <w:r>
        <w:rPr>
          <w:color w:val="6E6E6E"/>
          <w:sz w:val="16"/>
        </w:rPr>
        <w:t>[5] OpenStreetMap contributors. Copyright and License. https://www.openstreetmap.org/copyright</w:t>
      </w:r>
    </w:p>
    <w:p>
      <w:pPr>
        <w:spacing w:after="80"/>
      </w:pPr>
      <w:r>
        <w:rPr>
          <w:color w:val="6E6E6E"/>
          <w:sz w:val="16"/>
        </w:rPr>
        <w:t>[6] CARTO. Basemaps: autenticación y atribución. https://docs.carto.com/faqs/carto-basemaps</w:t>
      </w:r>
    </w:p>
    <w:p>
      <w:pPr>
        <w:spacing w:after="80"/>
      </w:pPr>
      <w:r>
        <w:rPr>
          <w:color w:val="6E6E6E"/>
          <w:sz w:val="16"/>
        </w:rPr>
        <w:t>[7] Universidad de Deusto. Portal de Transparencia. https://www.deusto.es/es/inicio/somos-deusto/la-universidad/transparencia</w:t>
      </w:r>
    </w:p>
    <w:p>
      <w:pPr>
        <w:spacing w:after="80"/>
      </w:pPr>
      <w:r>
        <w:rPr>
          <w:color w:val="6E6E6E"/>
          <w:sz w:val="16"/>
        </w:rPr>
        <w:t>[8] UNED Bizkaia. Memoria académica 2024–2025. https://www.uned.es/universidad/centros/dam/jcr:61d14500-2a88-4d92-957f-af4c8ebf24be/Memoria%20acad%C3%A9mica%202024-2025%20Memoria%20Akademikoa.pdf</w:t>
      </w:r>
    </w:p>
    <w:p>
      <w:pPr>
        <w:spacing w:after="80"/>
      </w:pPr>
      <w:r>
        <w:rPr>
          <w:color w:val="6E6E6E"/>
          <w:sz w:val="16"/>
        </w:rPr>
        <w:t>[9] Manuales técnicos de diseño ciclista aportados por la propiedad: DFB, CROW, MITMA y otras referencias de diseño.</w:t>
      </w:r>
    </w:p>
    <w:p>
      <w:pPr>
        <w:spacing w:before="180" w:after="100"/>
      </w:pPr>
      <w:r>
        <w:rPr>
          <w:b/>
          <w:color w:val="3D3D3D"/>
          <w:sz w:val="21"/>
        </w:rPr>
        <w:t>7.2. Anexos entregados</w:t>
      </w:r>
    </w:p>
    <w:tbl>
      <w:tblPr>
        <w:tblStyle w:val="Tablaconcuadrcula"/>
        <w:tblW w:type="auto" w:w="0"/>
        <w:jc w:val="center"/>
        <w:tblLook w:firstColumn="1" w:firstRow="1" w:lastColumn="0" w:lastRow="0" w:noHBand="0" w:noVBand="1" w:val="04A0"/>
        <w:tblBorders>
          <w:top w:val="single" w:sz="4" w:color="CFCFCF"/>
          <w:left w:val="single" w:sz="4" w:color="CFCFCF"/>
          <w:bottom w:val="single" w:sz="4" w:color="CFCFCF"/>
          <w:right w:val="single" w:sz="4" w:color="CFCFCF"/>
          <w:insideH w:val="single" w:sz="4" w:color="CFCFCF"/>
          <w:insideV w:val="single" w:sz="4" w:color="CFCFCF"/>
        </w:tblBorders>
      </w:tblPr>
      <w:tblGrid>
        <w:gridCol w:w="4989"/>
        <w:gridCol w:w="4989"/>
      </w:tblGrid>
      <w:tr>
        <w:tc>
          <w:tcPr>
            <w:tcW w:type="dxa" w:w="2835"/>
            <w:shd w:fill="9B2D30"/>
            <w:vAlign w:val="center"/>
          </w:tcPr>
          <w:p>
            <w:r>
              <w:rPr>
                <w:b/>
                <w:color w:val="FFFFFF"/>
                <w:sz w:val="16"/>
              </w:rPr>
              <w:t>Anexo</w:t>
            </w:r>
          </w:p>
        </w:tc>
        <w:tc>
          <w:tcPr>
            <w:tcW w:type="dxa" w:w="6009"/>
            <w:shd w:fill="9B2D30"/>
            <w:vAlign w:val="center"/>
          </w:tcPr>
          <w:p>
            <w:r>
              <w:rPr>
                <w:b/>
                <w:color w:val="FFFFFF"/>
                <w:sz w:val="16"/>
              </w:rPr>
              <w:t>Descripción</w:t>
            </w:r>
          </w:p>
        </w:tc>
      </w:tr>
      <w:tr>
        <w:tc>
          <w:tcPr>
            <w:tcW w:type="dxa" w:w="2835"/>
            <w:vAlign w:val="center"/>
          </w:tcPr>
          <w:p>
            <w:r>
              <w:rPr>
                <w:b w:val="0"/>
                <w:sz w:val="16"/>
              </w:rPr>
              <w:t>A. Base de datos</w:t>
            </w:r>
          </w:p>
        </w:tc>
        <w:tc>
          <w:tcPr>
            <w:tcW w:type="dxa" w:w="6009"/>
            <w:vAlign w:val="center"/>
          </w:tcPr>
          <w:p>
            <w:r>
              <w:rPr>
                <w:b w:val="0"/>
                <w:sz w:val="16"/>
              </w:rPr>
              <w:t>CSV de centros, indicadores, fuentes, calidades y resultados</w:t>
            </w:r>
          </w:p>
        </w:tc>
      </w:tr>
      <w:tr>
        <w:tc>
          <w:tcPr>
            <w:tcW w:type="dxa" w:w="2835"/>
            <w:shd w:fill="F3F3F3"/>
            <w:vAlign w:val="center"/>
          </w:tcPr>
          <w:p>
            <w:r>
              <w:rPr>
                <w:b w:val="0"/>
                <w:sz w:val="16"/>
              </w:rPr>
              <w:t>B. Diccionario de variables</w:t>
            </w:r>
          </w:p>
        </w:tc>
        <w:tc>
          <w:tcPr>
            <w:tcW w:type="dxa" w:w="6009"/>
            <w:shd w:fill="F3F3F3"/>
            <w:vAlign w:val="center"/>
          </w:tcPr>
          <w:p>
            <w:r>
              <w:rPr>
                <w:b w:val="0"/>
                <w:sz w:val="16"/>
              </w:rPr>
              <w:t>Definición de campos, unidades, escalas y códigos de indicador</w:t>
            </w:r>
          </w:p>
        </w:tc>
      </w:tr>
      <w:tr>
        <w:tc>
          <w:tcPr>
            <w:tcW w:type="dxa" w:w="2835"/>
            <w:vAlign w:val="center"/>
          </w:tcPr>
          <w:p>
            <w:r>
              <w:rPr>
                <w:b w:val="0"/>
                <w:sz w:val="16"/>
              </w:rPr>
              <w:t>C. Capas GIS</w:t>
            </w:r>
          </w:p>
        </w:tc>
        <w:tc>
          <w:tcPr>
            <w:tcW w:type="dxa" w:w="6009"/>
            <w:vAlign w:val="center"/>
          </w:tcPr>
          <w:p>
            <w:r>
              <w:rPr>
                <w:b w:val="0"/>
                <w:sz w:val="16"/>
              </w:rPr>
              <w:t>Shapefile de capas visibles y paquete integrado</w:t>
            </w:r>
          </w:p>
        </w:tc>
      </w:tr>
      <w:tr>
        <w:tc>
          <w:tcPr>
            <w:tcW w:type="dxa" w:w="2835"/>
            <w:shd w:fill="F3F3F3"/>
            <w:vAlign w:val="center"/>
          </w:tcPr>
          <w:p>
            <w:r>
              <w:rPr>
                <w:b w:val="0"/>
                <w:sz w:val="16"/>
              </w:rPr>
              <w:t>D. Visor interactivo</w:t>
            </w:r>
          </w:p>
        </w:tc>
        <w:tc>
          <w:tcPr>
            <w:tcW w:type="dxa" w:w="6009"/>
            <w:shd w:fill="F3F3F3"/>
            <w:vAlign w:val="center"/>
          </w:tcPr>
          <w:p>
            <w:r>
              <w:rPr>
                <w:b w:val="0"/>
                <w:sz w:val="16"/>
              </w:rPr>
              <w:t>Informe HTML con filtros, capas, ficha lateral y configuración de pesos</w:t>
            </w:r>
          </w:p>
        </w:tc>
      </w:tr>
    </w:tbl>
    <w:p>
      <w:pPr>
        <w:spacing w:after="40"/>
      </w:pPr>
    </w:p>
    <w:sectPr w:rsidR="0098090E" w:rsidSect="00181F8F">
      <w:headerReference w:type="default" r:id="rId22"/>
      <w:type w:val="continuous"/>
      <w:pgSz w:w="11906" w:h="16838"/>
      <w:pgMar w:top="907" w:right="1191" w:bottom="879" w:left="119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F913" w14:textId="77777777" w:rsidR="006525F5" w:rsidRDefault="006525F5" w:rsidP="00CB5E61">
      <w:r>
        <w:separator/>
      </w:r>
    </w:p>
  </w:endnote>
  <w:endnote w:type="continuationSeparator" w:id="0">
    <w:p w14:paraId="07538C59" w14:textId="77777777" w:rsidR="006525F5" w:rsidRDefault="006525F5" w:rsidP="00CB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1346" w14:textId="77777777" w:rsidR="00FD6507" w:rsidRDefault="00FD6507" w:rsidP="00E6533F">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8A124F1" w14:textId="77777777" w:rsidR="00FD6507" w:rsidRDefault="00FD6507" w:rsidP="00E6533F">
    <w:pPr>
      <w:pStyle w:val="Piedepgina"/>
      <w:ind w:right="360"/>
      <w:rPr>
        <w:rStyle w:val="Nmerodepgina"/>
      </w:rPr>
    </w:pPr>
  </w:p>
  <w:p w14:paraId="69131A73" w14:textId="77777777" w:rsidR="00FD6507" w:rsidRDefault="00FD6507" w:rsidP="00E653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02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4009"/>
      <w:gridCol w:w="3015"/>
    </w:tblGrid>
    <w:tr w:rsidR="00FD6507" w14:paraId="14788DD2" w14:textId="77777777" w:rsidTr="00E6533F">
      <w:tc>
        <w:tcPr>
          <w:tcW w:w="3003" w:type="dxa"/>
        </w:tcPr>
        <w:p w14:paraId="6E167669" w14:textId="77777777" w:rsidR="00FD6507" w:rsidRDefault="00FD6507" w:rsidP="00E6533F">
          <w:pPr>
            <w:pStyle w:val="Piedepgina"/>
            <w:ind w:left="22"/>
          </w:pPr>
          <w:r w:rsidRPr="001C1EB5">
            <w:rPr>
              <w:noProof/>
            </w:rPr>
            <w:drawing>
              <wp:inline distT="0" distB="0" distL="0" distR="0" wp14:anchorId="678DFFDE" wp14:editId="4D9DC336">
                <wp:extent cx="1715135" cy="686054"/>
                <wp:effectExtent l="0" t="0" r="0" b="0"/>
                <wp:docPr id="17843761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rtada.png"/>
                        <pic:cNvPicPr/>
                      </pic:nvPicPr>
                      <pic:blipFill>
                        <a:blip r:embed="rId1">
                          <a:extLst>
                            <a:ext uri="{28A0092B-C50C-407E-A947-70E740481C1C}">
                              <a14:useLocalDpi xmlns:a14="http://schemas.microsoft.com/office/drawing/2010/main" val="0"/>
                            </a:ext>
                          </a:extLst>
                        </a:blip>
                        <a:stretch>
                          <a:fillRect/>
                        </a:stretch>
                      </pic:blipFill>
                      <pic:spPr>
                        <a:xfrm>
                          <a:off x="0" y="0"/>
                          <a:ext cx="1715135" cy="686054"/>
                        </a:xfrm>
                        <a:prstGeom prst="rect">
                          <a:avLst/>
                        </a:prstGeom>
                      </pic:spPr>
                    </pic:pic>
                  </a:graphicData>
                </a:graphic>
              </wp:inline>
            </w:drawing>
          </w:r>
        </w:p>
      </w:tc>
      <w:tc>
        <w:tcPr>
          <w:tcW w:w="4009" w:type="dxa"/>
        </w:tcPr>
        <w:p w14:paraId="6EC98D4F" w14:textId="77777777" w:rsidR="00FD6507" w:rsidRDefault="00FD6507" w:rsidP="00E6533F">
          <w:pPr>
            <w:pStyle w:val="Piedepgina"/>
          </w:pPr>
        </w:p>
      </w:tc>
      <w:tc>
        <w:tcPr>
          <w:tcW w:w="3015" w:type="dxa"/>
          <w:vAlign w:val="center"/>
        </w:tcPr>
        <w:p w14:paraId="453EF095" w14:textId="77777777" w:rsidR="00FD6507" w:rsidRDefault="00FD6507" w:rsidP="00E6533F">
          <w:pPr>
            <w:pStyle w:val="Piedepgina"/>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t>3</w: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 MERGEFORMAT </w:instrText>
          </w:r>
          <w:r>
            <w:rPr>
              <w:rStyle w:val="Nmerodepgina"/>
            </w:rPr>
            <w:fldChar w:fldCharType="separate"/>
          </w:r>
          <w:r>
            <w:rPr>
              <w:rStyle w:val="Nmerodepgina"/>
            </w:rPr>
            <w:t>16</w:t>
          </w:r>
          <w:r>
            <w:rPr>
              <w:rStyle w:val="Nmerodepgina"/>
            </w:rPr>
            <w:fldChar w:fldCharType="end"/>
          </w:r>
        </w:p>
        <w:p w14:paraId="1AA058BA" w14:textId="77777777" w:rsidR="00FD6507" w:rsidRDefault="00FD6507" w:rsidP="00E6533F">
          <w:pPr>
            <w:pStyle w:val="Piedepgina"/>
            <w:jc w:val="right"/>
          </w:pPr>
        </w:p>
      </w:tc>
    </w:tr>
  </w:tbl>
  <w:p w14:paraId="6FE5783E" w14:textId="77777777" w:rsidR="00FD6507" w:rsidRDefault="00FD650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02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4009"/>
      <w:gridCol w:w="3015"/>
    </w:tblGrid>
    <w:tr w:rsidR="00181F8F" w14:paraId="40E610D3" w14:textId="77777777" w:rsidTr="00F12321">
      <w:tc>
        <w:tcPr>
          <w:tcW w:w="3003" w:type="dxa"/>
        </w:tcPr>
        <w:p w14:paraId="0600478D" w14:textId="77777777" w:rsidR="00181F8F" w:rsidRDefault="00181F8F" w:rsidP="00181F8F">
          <w:pPr>
            <w:pStyle w:val="Piedepgina"/>
            <w:ind w:left="22"/>
          </w:pPr>
          <w:r w:rsidRPr="001C1EB5">
            <w:rPr>
              <w:noProof/>
            </w:rPr>
            <w:drawing>
              <wp:inline distT="0" distB="0" distL="0" distR="0" wp14:anchorId="4CA5B8C0" wp14:editId="0CAD7F4F">
                <wp:extent cx="1715135" cy="686054"/>
                <wp:effectExtent l="0" t="0" r="0" b="0"/>
                <wp:docPr id="12467845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rtada.png"/>
                        <pic:cNvPicPr/>
                      </pic:nvPicPr>
                      <pic:blipFill>
                        <a:blip r:embed="rId1">
                          <a:extLst>
                            <a:ext uri="{28A0092B-C50C-407E-A947-70E740481C1C}">
                              <a14:useLocalDpi xmlns:a14="http://schemas.microsoft.com/office/drawing/2010/main" val="0"/>
                            </a:ext>
                          </a:extLst>
                        </a:blip>
                        <a:stretch>
                          <a:fillRect/>
                        </a:stretch>
                      </pic:blipFill>
                      <pic:spPr>
                        <a:xfrm>
                          <a:off x="0" y="0"/>
                          <a:ext cx="1715135" cy="686054"/>
                        </a:xfrm>
                        <a:prstGeom prst="rect">
                          <a:avLst/>
                        </a:prstGeom>
                      </pic:spPr>
                    </pic:pic>
                  </a:graphicData>
                </a:graphic>
              </wp:inline>
            </w:drawing>
          </w:r>
        </w:p>
      </w:tc>
      <w:tc>
        <w:tcPr>
          <w:tcW w:w="4009" w:type="dxa"/>
        </w:tcPr>
        <w:p w14:paraId="53C58D7D" w14:textId="77777777" w:rsidR="00181F8F" w:rsidRDefault="00181F8F" w:rsidP="00181F8F">
          <w:pPr>
            <w:pStyle w:val="Piedepgina"/>
          </w:pPr>
        </w:p>
      </w:tc>
      <w:tc>
        <w:tcPr>
          <w:tcW w:w="3015" w:type="dxa"/>
          <w:vAlign w:val="center"/>
        </w:tcPr>
        <w:p w14:paraId="5CD1E720" w14:textId="77777777" w:rsidR="00181F8F" w:rsidRDefault="00181F8F" w:rsidP="00181F8F">
          <w:pPr>
            <w:pStyle w:val="Piedepgina"/>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t>3</w: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 MERGEFORMAT </w:instrText>
          </w:r>
          <w:r>
            <w:rPr>
              <w:rStyle w:val="Nmerodepgina"/>
            </w:rPr>
            <w:fldChar w:fldCharType="separate"/>
          </w:r>
          <w:r>
            <w:rPr>
              <w:rStyle w:val="Nmerodepgina"/>
            </w:rPr>
            <w:t>16</w:t>
          </w:r>
          <w:r>
            <w:rPr>
              <w:rStyle w:val="Nmerodepgina"/>
            </w:rPr>
            <w:fldChar w:fldCharType="end"/>
          </w:r>
        </w:p>
        <w:p w14:paraId="7B9C93FB" w14:textId="77777777" w:rsidR="00181F8F" w:rsidRDefault="00181F8F" w:rsidP="00181F8F">
          <w:pPr>
            <w:pStyle w:val="Piedepgina"/>
            <w:jc w:val="right"/>
          </w:pPr>
        </w:p>
      </w:tc>
    </w:tr>
  </w:tbl>
  <w:p w14:paraId="5520463E" w14:textId="77777777" w:rsidR="00181F8F" w:rsidRDefault="00181F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DDD6" w14:textId="77777777" w:rsidR="006525F5" w:rsidRDefault="006525F5" w:rsidP="00CB5E61">
      <w:r>
        <w:separator/>
      </w:r>
    </w:p>
  </w:footnote>
  <w:footnote w:type="continuationSeparator" w:id="0">
    <w:p w14:paraId="2DBB05C9" w14:textId="77777777" w:rsidR="006525F5" w:rsidRDefault="006525F5" w:rsidP="00CB5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EA57" w14:textId="77777777" w:rsidR="007735BE" w:rsidRDefault="00860605">
    <w:r w:rsidRPr="00856D2B">
      <w:rPr>
        <w:noProof/>
      </w:rPr>
      <w:drawing>
        <wp:anchor distT="0" distB="0" distL="114300" distR="114300" simplePos="0" relativeHeight="251659264" behindDoc="1" locked="0" layoutInCell="1" allowOverlap="1" wp14:anchorId="016F641F" wp14:editId="29609E21">
          <wp:simplePos x="0" y="0"/>
          <wp:positionH relativeFrom="column">
            <wp:posOffset>-596900</wp:posOffset>
          </wp:positionH>
          <wp:positionV relativeFrom="paragraph">
            <wp:posOffset>-445135</wp:posOffset>
          </wp:positionV>
          <wp:extent cx="10847262" cy="7682865"/>
          <wp:effectExtent l="0" t="0" r="0" b="0"/>
          <wp:wrapNone/>
          <wp:docPr id="1133119743" name="Imagen 1133119743" descr="Imagen que contiene laptop, luz, oscuro, ro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ubes_transparente.png"/>
                  <pic:cNvPicPr/>
                </pic:nvPicPr>
                <pic:blipFill>
                  <a:blip r:embed="rId1"/>
                  <a:stretch>
                    <a:fillRect/>
                  </a:stretch>
                </pic:blipFill>
                <pic:spPr>
                  <a:xfrm>
                    <a:off x="0" y="0"/>
                    <a:ext cx="10847262" cy="76828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2AA7" w14:textId="77777777" w:rsidR="00181F8F" w:rsidRDefault="00181F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1516" w14:textId="77777777" w:rsidR="00181F8F" w:rsidRDefault="00181F8F">
    <w:pPr>
      <w:pStyle w:val="Encabezado"/>
    </w:pPr>
    <w:r w:rsidRPr="00856D2B">
      <w:rPr>
        <w:noProof/>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8C5"/>
    <w:multiLevelType w:val="multilevel"/>
    <w:tmpl w:val="83EA0A86"/>
    <w:lvl w:ilvl="0">
      <w:start w:val="1"/>
      <w:numFmt w:val="decimal"/>
      <w:pStyle w:val="Ttulo1"/>
      <w:lvlText w:val="%1"/>
      <w:lvlJc w:val="left"/>
      <w:pPr>
        <w:ind w:left="432" w:hanging="432"/>
      </w:pPr>
    </w:lvl>
    <w:lvl w:ilvl="1">
      <w:start w:val="1"/>
      <w:numFmt w:val="decimal"/>
      <w:pStyle w:val="Ttulo2"/>
      <w:lvlText w:val="%1.%2"/>
      <w:lvlJc w:val="left"/>
      <w:pPr>
        <w:ind w:left="5112"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0A917DCC"/>
    <w:multiLevelType w:val="multilevel"/>
    <w:tmpl w:val="A6B28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45802"/>
    <w:multiLevelType w:val="multilevel"/>
    <w:tmpl w:val="1548AFEA"/>
    <w:lvl w:ilvl="0">
      <w:start w:val="1"/>
      <w:numFmt w:val="decimal"/>
      <w:lvlText w:val="%1"/>
      <w:lvlJc w:val="left"/>
      <w:pPr>
        <w:ind w:left="858" w:hanging="432"/>
      </w:pPr>
    </w:lvl>
    <w:lvl w:ilvl="1">
      <w:start w:val="1"/>
      <w:numFmt w:val="decimal"/>
      <w:lvlText w:val="%1.%2"/>
      <w:lvlJc w:val="left"/>
      <w:pPr>
        <w:ind w:left="1002" w:hanging="576"/>
      </w:pPr>
    </w:lvl>
    <w:lvl w:ilvl="2">
      <w:start w:val="1"/>
      <w:numFmt w:val="decimal"/>
      <w:lvlText w:val="%1.%2.%3"/>
      <w:lvlJc w:val="left"/>
      <w:pPr>
        <w:ind w:left="1146" w:hanging="720"/>
      </w:pPr>
    </w:lvl>
    <w:lvl w:ilvl="3">
      <w:start w:val="1"/>
      <w:numFmt w:val="decimal"/>
      <w:lvlText w:val="%1.%2.%3.%4"/>
      <w:lvlJc w:val="left"/>
      <w:pPr>
        <w:ind w:left="1290" w:hanging="864"/>
      </w:pPr>
    </w:lvl>
    <w:lvl w:ilvl="4">
      <w:start w:val="1"/>
      <w:numFmt w:val="decimal"/>
      <w:lvlText w:val="%1.%2.%3.%4.%5"/>
      <w:lvlJc w:val="left"/>
      <w:pPr>
        <w:ind w:left="1434" w:hanging="1008"/>
      </w:pPr>
    </w:lvl>
    <w:lvl w:ilvl="5">
      <w:start w:val="1"/>
      <w:numFmt w:val="decimal"/>
      <w:lvlText w:val="%1.%2.%3.%4.%5.%6"/>
      <w:lvlJc w:val="left"/>
      <w:pPr>
        <w:ind w:left="1578" w:hanging="1152"/>
      </w:pPr>
    </w:lvl>
    <w:lvl w:ilvl="6">
      <w:start w:val="1"/>
      <w:numFmt w:val="decimal"/>
      <w:lvlText w:val="%1.%2.%3.%4.%5.%6.%7"/>
      <w:lvlJc w:val="left"/>
      <w:pPr>
        <w:ind w:left="1722" w:hanging="1296"/>
      </w:pPr>
    </w:lvl>
    <w:lvl w:ilvl="7">
      <w:start w:val="1"/>
      <w:numFmt w:val="decimal"/>
      <w:lvlText w:val="%1.%2.%3.%4.%5.%6.%7.%8"/>
      <w:lvlJc w:val="left"/>
      <w:pPr>
        <w:ind w:left="1866" w:hanging="1440"/>
      </w:pPr>
    </w:lvl>
    <w:lvl w:ilvl="8">
      <w:start w:val="1"/>
      <w:numFmt w:val="decimal"/>
      <w:lvlText w:val="%1.%2.%3.%4.%5.%6.%7.%8.%9"/>
      <w:lvlJc w:val="left"/>
      <w:pPr>
        <w:ind w:left="2010" w:hanging="1584"/>
      </w:pPr>
    </w:lvl>
  </w:abstractNum>
  <w:abstractNum w:abstractNumId="3" w15:restartNumberingAfterBreak="0">
    <w:nsid w:val="0F6A0229"/>
    <w:multiLevelType w:val="hybridMultilevel"/>
    <w:tmpl w:val="251CF64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1E659BB"/>
    <w:multiLevelType w:val="hybridMultilevel"/>
    <w:tmpl w:val="26921990"/>
    <w:lvl w:ilvl="0" w:tplc="F012A374">
      <w:start w:val="1"/>
      <w:numFmt w:val="decimal"/>
      <w:pStyle w:val="Nivel4LETRA"/>
      <w:lvlText w:val="A.1.1.1.%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132D5BB6"/>
    <w:multiLevelType w:val="hybridMultilevel"/>
    <w:tmpl w:val="AFA83F7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6" w15:restartNumberingAfterBreak="0">
    <w:nsid w:val="15964BBF"/>
    <w:multiLevelType w:val="hybridMultilevel"/>
    <w:tmpl w:val="403252F8"/>
    <w:lvl w:ilvl="0" w:tplc="5F20CA4C">
      <w:start w:val="1"/>
      <w:numFmt w:val="bullet"/>
      <w:pStyle w:val="Listanivel3"/>
      <w:lvlText w:val=""/>
      <w:lvlJc w:val="left"/>
      <w:pPr>
        <w:ind w:left="720" w:hanging="360"/>
      </w:pPr>
      <w:rPr>
        <w:rFonts w:ascii="Wingdings" w:hAnsi="Wingdings" w:hint="default"/>
        <w:color w:val="BFBFBF" w:themeColor="background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62591A"/>
    <w:multiLevelType w:val="multilevel"/>
    <w:tmpl w:val="2BF2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D3AC4"/>
    <w:multiLevelType w:val="hybridMultilevel"/>
    <w:tmpl w:val="16DC3660"/>
    <w:lvl w:ilvl="0" w:tplc="6DB4FD42">
      <w:start w:val="1"/>
      <w:numFmt w:val="bullet"/>
      <w:pStyle w:val="Listanivel1"/>
      <w:lvlText w:val=""/>
      <w:lvlJc w:val="left"/>
      <w:pPr>
        <w:ind w:left="720" w:hanging="360"/>
      </w:pPr>
      <w:rPr>
        <w:rFonts w:ascii="Wingdings" w:hAnsi="Wingdings" w:hint="default"/>
        <w:color w:val="F04641" w:themeColor="accen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630DFD"/>
    <w:multiLevelType w:val="multilevel"/>
    <w:tmpl w:val="BB6E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405A0"/>
    <w:multiLevelType w:val="multilevel"/>
    <w:tmpl w:val="DAD0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9298B"/>
    <w:multiLevelType w:val="multilevel"/>
    <w:tmpl w:val="DA382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E3734"/>
    <w:multiLevelType w:val="hybridMultilevel"/>
    <w:tmpl w:val="5916FF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238B3446"/>
    <w:multiLevelType w:val="hybridMultilevel"/>
    <w:tmpl w:val="5E5ED6AC"/>
    <w:lvl w:ilvl="0" w:tplc="51B27C0C">
      <w:numFmt w:val="bullet"/>
      <w:lvlText w:val="•"/>
      <w:lvlJc w:val="left"/>
      <w:pPr>
        <w:ind w:left="1060" w:hanging="70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24AA353C"/>
    <w:multiLevelType w:val="hybridMultilevel"/>
    <w:tmpl w:val="020AB954"/>
    <w:lvl w:ilvl="0" w:tplc="51B27C0C">
      <w:numFmt w:val="bullet"/>
      <w:lvlText w:val="•"/>
      <w:lvlJc w:val="left"/>
      <w:pPr>
        <w:ind w:left="1060" w:hanging="70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24EE69FA"/>
    <w:multiLevelType w:val="hybridMultilevel"/>
    <w:tmpl w:val="7730F190"/>
    <w:lvl w:ilvl="0" w:tplc="BE38E23A">
      <w:start w:val="1"/>
      <w:numFmt w:val="bullet"/>
      <w:pStyle w:val="Listanivel2"/>
      <w:lvlText w:val=""/>
      <w:lvlJc w:val="left"/>
      <w:pPr>
        <w:ind w:left="720" w:hanging="360"/>
      </w:pPr>
      <w:rPr>
        <w:rFonts w:ascii="Wingdings" w:hAnsi="Wingdings" w:hint="default"/>
        <w:color w:val="005573"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07215D"/>
    <w:multiLevelType w:val="multilevel"/>
    <w:tmpl w:val="4E905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AF4528"/>
    <w:multiLevelType w:val="multilevel"/>
    <w:tmpl w:val="869E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7A070A"/>
    <w:multiLevelType w:val="hybridMultilevel"/>
    <w:tmpl w:val="9118E35E"/>
    <w:lvl w:ilvl="0" w:tplc="A866D2A4">
      <w:start w:val="1"/>
      <w:numFmt w:val="decimal"/>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336903D6"/>
    <w:multiLevelType w:val="hybridMultilevel"/>
    <w:tmpl w:val="871CA018"/>
    <w:lvl w:ilvl="0" w:tplc="3E3CE36A">
      <w:start w:val="1"/>
      <w:numFmt w:val="decimal"/>
      <w:pStyle w:val="Nivel5LETRA"/>
      <w:lvlText w:val="A.1.1.1.1.%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35483C24"/>
    <w:multiLevelType w:val="multilevel"/>
    <w:tmpl w:val="CA1E72B0"/>
    <w:lvl w:ilvl="0">
      <w:start w:val="1"/>
      <w:numFmt w:val="decimal"/>
      <w:pStyle w:val="Nivel1LETRA"/>
      <w:lvlText w:val="A.%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FC2D90"/>
    <w:multiLevelType w:val="hybridMultilevel"/>
    <w:tmpl w:val="EA8EF744"/>
    <w:lvl w:ilvl="0" w:tplc="04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3A73136E"/>
    <w:multiLevelType w:val="hybridMultilevel"/>
    <w:tmpl w:val="5E787DCA"/>
    <w:lvl w:ilvl="0" w:tplc="51B27C0C">
      <w:numFmt w:val="bullet"/>
      <w:lvlText w:val="•"/>
      <w:lvlJc w:val="left"/>
      <w:pPr>
        <w:ind w:left="1060" w:hanging="70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41884146"/>
    <w:multiLevelType w:val="hybridMultilevel"/>
    <w:tmpl w:val="BAFE547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58E222E"/>
    <w:multiLevelType w:val="multilevel"/>
    <w:tmpl w:val="D3E2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484092"/>
    <w:multiLevelType w:val="hybridMultilevel"/>
    <w:tmpl w:val="E02EF0C4"/>
    <w:lvl w:ilvl="0" w:tplc="4962A30C">
      <w:start w:val="1"/>
      <w:numFmt w:val="upperLetter"/>
      <w:pStyle w:val="ApartadoLETRA"/>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7325D3"/>
    <w:multiLevelType w:val="multilevel"/>
    <w:tmpl w:val="7B90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7E4F92"/>
    <w:multiLevelType w:val="hybridMultilevel"/>
    <w:tmpl w:val="BD5294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4E2B10D3"/>
    <w:multiLevelType w:val="multilevel"/>
    <w:tmpl w:val="5B089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82FDD"/>
    <w:multiLevelType w:val="hybridMultilevel"/>
    <w:tmpl w:val="C63CA376"/>
    <w:lvl w:ilvl="0" w:tplc="8AE4AFE6">
      <w:start w:val="1"/>
      <w:numFmt w:val="decimal"/>
      <w:pStyle w:val="Nivel2LETRA"/>
      <w:lvlText w:val="A.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1F56AA8"/>
    <w:multiLevelType w:val="hybridMultilevel"/>
    <w:tmpl w:val="0FF8DA2C"/>
    <w:lvl w:ilvl="0" w:tplc="5DCE1C84">
      <w:start w:val="1"/>
      <w:numFmt w:val="decimal"/>
      <w:pStyle w:val="Nivel3LETRA"/>
      <w:lvlText w:val="A.1.1.%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544940A0"/>
    <w:multiLevelType w:val="hybridMultilevel"/>
    <w:tmpl w:val="54606CA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59874E9D"/>
    <w:multiLevelType w:val="hybridMultilevel"/>
    <w:tmpl w:val="ED8259C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15:restartNumberingAfterBreak="0">
    <w:nsid w:val="5BEE0502"/>
    <w:multiLevelType w:val="hybridMultilevel"/>
    <w:tmpl w:val="5A08824C"/>
    <w:lvl w:ilvl="0" w:tplc="03287438">
      <w:start w:val="3"/>
      <w:numFmt w:val="decimal"/>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34" w15:restartNumberingAfterBreak="0">
    <w:nsid w:val="614D1DC6"/>
    <w:multiLevelType w:val="hybridMultilevel"/>
    <w:tmpl w:val="C84EE91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5" w15:restartNumberingAfterBreak="0">
    <w:nsid w:val="64D04771"/>
    <w:multiLevelType w:val="hybridMultilevel"/>
    <w:tmpl w:val="D7D47158"/>
    <w:lvl w:ilvl="0" w:tplc="51B27C0C">
      <w:numFmt w:val="bullet"/>
      <w:lvlText w:val="•"/>
      <w:lvlJc w:val="left"/>
      <w:pPr>
        <w:ind w:left="1060" w:hanging="70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6" w15:restartNumberingAfterBreak="0">
    <w:nsid w:val="66244B56"/>
    <w:multiLevelType w:val="hybridMultilevel"/>
    <w:tmpl w:val="C1349D9A"/>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7" w15:restartNumberingAfterBreak="0">
    <w:nsid w:val="6B363500"/>
    <w:multiLevelType w:val="hybridMultilevel"/>
    <w:tmpl w:val="75EEBF7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38" w15:restartNumberingAfterBreak="0">
    <w:nsid w:val="6C651CA4"/>
    <w:multiLevelType w:val="multilevel"/>
    <w:tmpl w:val="1548AFEA"/>
    <w:lvl w:ilvl="0">
      <w:start w:val="1"/>
      <w:numFmt w:val="decimal"/>
      <w:lvlText w:val="%1"/>
      <w:lvlJc w:val="left"/>
      <w:pPr>
        <w:ind w:left="858" w:hanging="432"/>
      </w:pPr>
    </w:lvl>
    <w:lvl w:ilvl="1">
      <w:start w:val="1"/>
      <w:numFmt w:val="decimal"/>
      <w:lvlText w:val="%1.%2"/>
      <w:lvlJc w:val="left"/>
      <w:pPr>
        <w:ind w:left="1002" w:hanging="576"/>
      </w:pPr>
    </w:lvl>
    <w:lvl w:ilvl="2">
      <w:start w:val="1"/>
      <w:numFmt w:val="decimal"/>
      <w:lvlText w:val="%1.%2.%3"/>
      <w:lvlJc w:val="left"/>
      <w:pPr>
        <w:ind w:left="1146" w:hanging="720"/>
      </w:pPr>
    </w:lvl>
    <w:lvl w:ilvl="3">
      <w:start w:val="1"/>
      <w:numFmt w:val="decimal"/>
      <w:lvlText w:val="%1.%2.%3.%4"/>
      <w:lvlJc w:val="left"/>
      <w:pPr>
        <w:ind w:left="1290" w:hanging="864"/>
      </w:pPr>
    </w:lvl>
    <w:lvl w:ilvl="4">
      <w:start w:val="1"/>
      <w:numFmt w:val="decimal"/>
      <w:lvlText w:val="%1.%2.%3.%4.%5"/>
      <w:lvlJc w:val="left"/>
      <w:pPr>
        <w:ind w:left="1434" w:hanging="1008"/>
      </w:pPr>
    </w:lvl>
    <w:lvl w:ilvl="5">
      <w:start w:val="1"/>
      <w:numFmt w:val="decimal"/>
      <w:lvlText w:val="%1.%2.%3.%4.%5.%6"/>
      <w:lvlJc w:val="left"/>
      <w:pPr>
        <w:ind w:left="1578" w:hanging="1152"/>
      </w:pPr>
    </w:lvl>
    <w:lvl w:ilvl="6">
      <w:start w:val="1"/>
      <w:numFmt w:val="decimal"/>
      <w:lvlText w:val="%1.%2.%3.%4.%5.%6.%7"/>
      <w:lvlJc w:val="left"/>
      <w:pPr>
        <w:ind w:left="1722" w:hanging="1296"/>
      </w:pPr>
    </w:lvl>
    <w:lvl w:ilvl="7">
      <w:start w:val="1"/>
      <w:numFmt w:val="decimal"/>
      <w:lvlText w:val="%1.%2.%3.%4.%5.%6.%7.%8"/>
      <w:lvlJc w:val="left"/>
      <w:pPr>
        <w:ind w:left="1866" w:hanging="1440"/>
      </w:pPr>
    </w:lvl>
    <w:lvl w:ilvl="8">
      <w:start w:val="1"/>
      <w:numFmt w:val="decimal"/>
      <w:lvlText w:val="%1.%2.%3.%4.%5.%6.%7.%8.%9"/>
      <w:lvlJc w:val="left"/>
      <w:pPr>
        <w:ind w:left="2010" w:hanging="1584"/>
      </w:pPr>
    </w:lvl>
  </w:abstractNum>
  <w:abstractNum w:abstractNumId="39" w15:restartNumberingAfterBreak="0">
    <w:nsid w:val="73D45CCB"/>
    <w:multiLevelType w:val="hybridMultilevel"/>
    <w:tmpl w:val="C6A090B0"/>
    <w:lvl w:ilvl="0" w:tplc="1862CEA0">
      <w:start w:val="1"/>
      <w:numFmt w:val="decimal"/>
      <w:pStyle w:val="Textonumerado"/>
      <w:lvlText w:val="%1."/>
      <w:lvlJc w:val="left"/>
      <w:pPr>
        <w:ind w:left="720" w:hanging="360"/>
      </w:pPr>
      <w:rPr>
        <w:rFonts w:hint="default"/>
        <w:color w:val="000000" w:themeColor="text1"/>
        <w:sz w:val="20"/>
        <w:szCs w:val="20"/>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A253701"/>
    <w:multiLevelType w:val="multilevel"/>
    <w:tmpl w:val="BD249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86290"/>
    <w:multiLevelType w:val="hybridMultilevel"/>
    <w:tmpl w:val="D1A8AF26"/>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20336075">
    <w:abstractNumId w:val="0"/>
  </w:num>
  <w:num w:numId="2" w16cid:durableId="596795030">
    <w:abstractNumId w:val="25"/>
  </w:num>
  <w:num w:numId="3" w16cid:durableId="1634870121">
    <w:abstractNumId w:val="8"/>
  </w:num>
  <w:num w:numId="4" w16cid:durableId="107169380">
    <w:abstractNumId w:val="20"/>
  </w:num>
  <w:num w:numId="5" w16cid:durableId="258489747">
    <w:abstractNumId w:val="29"/>
  </w:num>
  <w:num w:numId="6" w16cid:durableId="1818838939">
    <w:abstractNumId w:val="30"/>
  </w:num>
  <w:num w:numId="7" w16cid:durableId="333806936">
    <w:abstractNumId w:val="4"/>
  </w:num>
  <w:num w:numId="8" w16cid:durableId="215162081">
    <w:abstractNumId w:val="19"/>
  </w:num>
  <w:num w:numId="9" w16cid:durableId="517895082">
    <w:abstractNumId w:val="15"/>
  </w:num>
  <w:num w:numId="10" w16cid:durableId="2131046371">
    <w:abstractNumId w:val="6"/>
  </w:num>
  <w:num w:numId="11" w16cid:durableId="127162419">
    <w:abstractNumId w:val="39"/>
  </w:num>
  <w:num w:numId="12" w16cid:durableId="437918578">
    <w:abstractNumId w:val="2"/>
  </w:num>
  <w:num w:numId="13" w16cid:durableId="1478188713">
    <w:abstractNumId w:val="22"/>
  </w:num>
  <w:num w:numId="14" w16cid:durableId="2011179200">
    <w:abstractNumId w:val="14"/>
  </w:num>
  <w:num w:numId="15" w16cid:durableId="1067798099">
    <w:abstractNumId w:val="18"/>
  </w:num>
  <w:num w:numId="16" w16cid:durableId="702944525">
    <w:abstractNumId w:val="33"/>
  </w:num>
  <w:num w:numId="17" w16cid:durableId="741365697">
    <w:abstractNumId w:val="35"/>
  </w:num>
  <w:num w:numId="18" w16cid:durableId="1587955748">
    <w:abstractNumId w:val="13"/>
  </w:num>
  <w:num w:numId="19" w16cid:durableId="616714413">
    <w:abstractNumId w:val="23"/>
  </w:num>
  <w:num w:numId="20" w16cid:durableId="1997109089">
    <w:abstractNumId w:val="12"/>
  </w:num>
  <w:num w:numId="21" w16cid:durableId="1120297161">
    <w:abstractNumId w:val="31"/>
  </w:num>
  <w:num w:numId="22" w16cid:durableId="378437209">
    <w:abstractNumId w:val="32"/>
  </w:num>
  <w:num w:numId="23" w16cid:durableId="131942790">
    <w:abstractNumId w:val="3"/>
  </w:num>
  <w:num w:numId="24" w16cid:durableId="1080563780">
    <w:abstractNumId w:val="37"/>
  </w:num>
  <w:num w:numId="25" w16cid:durableId="1234462390">
    <w:abstractNumId w:val="36"/>
  </w:num>
  <w:num w:numId="26" w16cid:durableId="95441610">
    <w:abstractNumId w:val="34"/>
  </w:num>
  <w:num w:numId="27" w16cid:durableId="1013992457">
    <w:abstractNumId w:val="21"/>
  </w:num>
  <w:num w:numId="28" w16cid:durableId="851334187">
    <w:abstractNumId w:val="5"/>
  </w:num>
  <w:num w:numId="29" w16cid:durableId="583565031">
    <w:abstractNumId w:val="41"/>
  </w:num>
  <w:num w:numId="30" w16cid:durableId="131867372">
    <w:abstractNumId w:val="17"/>
  </w:num>
  <w:num w:numId="31" w16cid:durableId="1718971587">
    <w:abstractNumId w:val="11"/>
  </w:num>
  <w:num w:numId="32" w16cid:durableId="1762220473">
    <w:abstractNumId w:val="40"/>
  </w:num>
  <w:num w:numId="33" w16cid:durableId="1386291997">
    <w:abstractNumId w:val="16"/>
  </w:num>
  <w:num w:numId="34" w16cid:durableId="1989090517">
    <w:abstractNumId w:val="10"/>
  </w:num>
  <w:num w:numId="35" w16cid:durableId="1619294156">
    <w:abstractNumId w:val="28"/>
  </w:num>
  <w:num w:numId="36" w16cid:durableId="1410536232">
    <w:abstractNumId w:val="7"/>
  </w:num>
  <w:num w:numId="37" w16cid:durableId="1447194646">
    <w:abstractNumId w:val="24"/>
  </w:num>
  <w:num w:numId="38" w16cid:durableId="232084158">
    <w:abstractNumId w:val="1"/>
  </w:num>
  <w:num w:numId="39" w16cid:durableId="345592949">
    <w:abstractNumId w:val="26"/>
  </w:num>
  <w:num w:numId="40" w16cid:durableId="1383209361">
    <w:abstractNumId w:val="9"/>
  </w:num>
  <w:num w:numId="41" w16cid:durableId="789129304">
    <w:abstractNumId w:val="27"/>
  </w:num>
  <w:num w:numId="42" w16cid:durableId="1347560878">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D43"/>
    <w:rsid w:val="0000024E"/>
    <w:rsid w:val="00002DB2"/>
    <w:rsid w:val="0000561F"/>
    <w:rsid w:val="00005D43"/>
    <w:rsid w:val="00023AC6"/>
    <w:rsid w:val="00023CEF"/>
    <w:rsid w:val="00026BDA"/>
    <w:rsid w:val="00027946"/>
    <w:rsid w:val="0003709E"/>
    <w:rsid w:val="000462B6"/>
    <w:rsid w:val="000902CC"/>
    <w:rsid w:val="0009119A"/>
    <w:rsid w:val="0009656A"/>
    <w:rsid w:val="00097FEC"/>
    <w:rsid w:val="000C3018"/>
    <w:rsid w:val="000C66A7"/>
    <w:rsid w:val="000D0514"/>
    <w:rsid w:val="000F5F5E"/>
    <w:rsid w:val="001039C5"/>
    <w:rsid w:val="001118FF"/>
    <w:rsid w:val="00116E80"/>
    <w:rsid w:val="00127BEA"/>
    <w:rsid w:val="00134F1D"/>
    <w:rsid w:val="0014211F"/>
    <w:rsid w:val="00170365"/>
    <w:rsid w:val="00180311"/>
    <w:rsid w:val="00181F8F"/>
    <w:rsid w:val="0018717B"/>
    <w:rsid w:val="00187A10"/>
    <w:rsid w:val="00187DCF"/>
    <w:rsid w:val="00197FCB"/>
    <w:rsid w:val="001B0B50"/>
    <w:rsid w:val="001B1B09"/>
    <w:rsid w:val="001C4335"/>
    <w:rsid w:val="001D585F"/>
    <w:rsid w:val="001D6574"/>
    <w:rsid w:val="00201B5C"/>
    <w:rsid w:val="0020396C"/>
    <w:rsid w:val="00207301"/>
    <w:rsid w:val="00216F0C"/>
    <w:rsid w:val="00242973"/>
    <w:rsid w:val="00250B4C"/>
    <w:rsid w:val="00262F0A"/>
    <w:rsid w:val="002649F5"/>
    <w:rsid w:val="00267C83"/>
    <w:rsid w:val="0028333F"/>
    <w:rsid w:val="002841E2"/>
    <w:rsid w:val="002843B2"/>
    <w:rsid w:val="0029479C"/>
    <w:rsid w:val="00295A6C"/>
    <w:rsid w:val="00297EC3"/>
    <w:rsid w:val="002A10C3"/>
    <w:rsid w:val="002B02C6"/>
    <w:rsid w:val="002B079F"/>
    <w:rsid w:val="002B0F3B"/>
    <w:rsid w:val="002B3472"/>
    <w:rsid w:val="002C0F7E"/>
    <w:rsid w:val="002C3662"/>
    <w:rsid w:val="002C4BF9"/>
    <w:rsid w:val="002D60F2"/>
    <w:rsid w:val="002D6A0F"/>
    <w:rsid w:val="002E374C"/>
    <w:rsid w:val="002E660A"/>
    <w:rsid w:val="002E7EE5"/>
    <w:rsid w:val="00303F70"/>
    <w:rsid w:val="00310CDA"/>
    <w:rsid w:val="00310FA7"/>
    <w:rsid w:val="00320B7F"/>
    <w:rsid w:val="0032794C"/>
    <w:rsid w:val="00346FDF"/>
    <w:rsid w:val="00351A13"/>
    <w:rsid w:val="00357B19"/>
    <w:rsid w:val="00357D7F"/>
    <w:rsid w:val="003841CC"/>
    <w:rsid w:val="00385E59"/>
    <w:rsid w:val="003A2E09"/>
    <w:rsid w:val="003A46EA"/>
    <w:rsid w:val="003A5C00"/>
    <w:rsid w:val="003C2CDB"/>
    <w:rsid w:val="003C5818"/>
    <w:rsid w:val="003D5D24"/>
    <w:rsid w:val="003D71CF"/>
    <w:rsid w:val="003F64A7"/>
    <w:rsid w:val="00406D11"/>
    <w:rsid w:val="00417E9C"/>
    <w:rsid w:val="00420EFD"/>
    <w:rsid w:val="004226A6"/>
    <w:rsid w:val="004347D4"/>
    <w:rsid w:val="004362BE"/>
    <w:rsid w:val="00447133"/>
    <w:rsid w:val="00453543"/>
    <w:rsid w:val="0047120B"/>
    <w:rsid w:val="00473A55"/>
    <w:rsid w:val="004749C0"/>
    <w:rsid w:val="00476452"/>
    <w:rsid w:val="00485CE7"/>
    <w:rsid w:val="0048741C"/>
    <w:rsid w:val="004A1A5F"/>
    <w:rsid w:val="004A5ACE"/>
    <w:rsid w:val="004B0085"/>
    <w:rsid w:val="004B6B92"/>
    <w:rsid w:val="004C0BA0"/>
    <w:rsid w:val="004D2B3E"/>
    <w:rsid w:val="004F4A4C"/>
    <w:rsid w:val="005011C5"/>
    <w:rsid w:val="0050607A"/>
    <w:rsid w:val="00527D55"/>
    <w:rsid w:val="005301A4"/>
    <w:rsid w:val="00536F43"/>
    <w:rsid w:val="00553DC5"/>
    <w:rsid w:val="00555878"/>
    <w:rsid w:val="0055621D"/>
    <w:rsid w:val="00562059"/>
    <w:rsid w:val="00585C1D"/>
    <w:rsid w:val="005907CA"/>
    <w:rsid w:val="005910D0"/>
    <w:rsid w:val="0059383B"/>
    <w:rsid w:val="00594725"/>
    <w:rsid w:val="005A04BA"/>
    <w:rsid w:val="005B495B"/>
    <w:rsid w:val="005B5684"/>
    <w:rsid w:val="005D4893"/>
    <w:rsid w:val="005E0BF2"/>
    <w:rsid w:val="006065FA"/>
    <w:rsid w:val="00616FE5"/>
    <w:rsid w:val="00624FC7"/>
    <w:rsid w:val="006272B0"/>
    <w:rsid w:val="00630D91"/>
    <w:rsid w:val="00633456"/>
    <w:rsid w:val="006525F5"/>
    <w:rsid w:val="006552EA"/>
    <w:rsid w:val="0065681C"/>
    <w:rsid w:val="006615EA"/>
    <w:rsid w:val="00664347"/>
    <w:rsid w:val="00684600"/>
    <w:rsid w:val="006A5BFB"/>
    <w:rsid w:val="006B125C"/>
    <w:rsid w:val="006B3C65"/>
    <w:rsid w:val="006B5BB7"/>
    <w:rsid w:val="006B7142"/>
    <w:rsid w:val="006F2AA4"/>
    <w:rsid w:val="007011FE"/>
    <w:rsid w:val="00705824"/>
    <w:rsid w:val="00706A00"/>
    <w:rsid w:val="00706FE4"/>
    <w:rsid w:val="00711CBE"/>
    <w:rsid w:val="007149AA"/>
    <w:rsid w:val="007203AA"/>
    <w:rsid w:val="00726E8D"/>
    <w:rsid w:val="00727AD9"/>
    <w:rsid w:val="00737FC8"/>
    <w:rsid w:val="00746295"/>
    <w:rsid w:val="00760AFC"/>
    <w:rsid w:val="007679F0"/>
    <w:rsid w:val="007735BE"/>
    <w:rsid w:val="00781388"/>
    <w:rsid w:val="007A272E"/>
    <w:rsid w:val="007A31D2"/>
    <w:rsid w:val="007A3F2A"/>
    <w:rsid w:val="007A6D8B"/>
    <w:rsid w:val="007B44A0"/>
    <w:rsid w:val="007B496B"/>
    <w:rsid w:val="007B4982"/>
    <w:rsid w:val="007C4E70"/>
    <w:rsid w:val="007D1DA1"/>
    <w:rsid w:val="007E08F4"/>
    <w:rsid w:val="007E219E"/>
    <w:rsid w:val="007F2064"/>
    <w:rsid w:val="007F5AFD"/>
    <w:rsid w:val="007F65D2"/>
    <w:rsid w:val="0080394C"/>
    <w:rsid w:val="00806207"/>
    <w:rsid w:val="008140F1"/>
    <w:rsid w:val="00816BF3"/>
    <w:rsid w:val="00833C79"/>
    <w:rsid w:val="00852643"/>
    <w:rsid w:val="00860605"/>
    <w:rsid w:val="00860C5A"/>
    <w:rsid w:val="00861BE5"/>
    <w:rsid w:val="00863F04"/>
    <w:rsid w:val="008643FA"/>
    <w:rsid w:val="0087300C"/>
    <w:rsid w:val="00881A5F"/>
    <w:rsid w:val="00887861"/>
    <w:rsid w:val="008B293F"/>
    <w:rsid w:val="008B3E41"/>
    <w:rsid w:val="008D1465"/>
    <w:rsid w:val="008E4110"/>
    <w:rsid w:val="008E4C0D"/>
    <w:rsid w:val="008F5E20"/>
    <w:rsid w:val="008F70E7"/>
    <w:rsid w:val="00900107"/>
    <w:rsid w:val="009106DB"/>
    <w:rsid w:val="009146CC"/>
    <w:rsid w:val="009147EF"/>
    <w:rsid w:val="00916057"/>
    <w:rsid w:val="00925CF2"/>
    <w:rsid w:val="00936D24"/>
    <w:rsid w:val="009529EA"/>
    <w:rsid w:val="0098090E"/>
    <w:rsid w:val="0098487F"/>
    <w:rsid w:val="009A0276"/>
    <w:rsid w:val="009A0E88"/>
    <w:rsid w:val="009A40C3"/>
    <w:rsid w:val="009B6327"/>
    <w:rsid w:val="009B7AFB"/>
    <w:rsid w:val="009D1295"/>
    <w:rsid w:val="009D6821"/>
    <w:rsid w:val="009E3AC5"/>
    <w:rsid w:val="009F0BE6"/>
    <w:rsid w:val="009F63DD"/>
    <w:rsid w:val="00A041F8"/>
    <w:rsid w:val="00A0525E"/>
    <w:rsid w:val="00A10800"/>
    <w:rsid w:val="00A13F70"/>
    <w:rsid w:val="00A20AC5"/>
    <w:rsid w:val="00A3165F"/>
    <w:rsid w:val="00A36F73"/>
    <w:rsid w:val="00A37F6E"/>
    <w:rsid w:val="00A420E6"/>
    <w:rsid w:val="00A42425"/>
    <w:rsid w:val="00A43AB7"/>
    <w:rsid w:val="00A452AC"/>
    <w:rsid w:val="00A45891"/>
    <w:rsid w:val="00A56AE3"/>
    <w:rsid w:val="00A83224"/>
    <w:rsid w:val="00AA2724"/>
    <w:rsid w:val="00AA57BB"/>
    <w:rsid w:val="00AA78FA"/>
    <w:rsid w:val="00AC066E"/>
    <w:rsid w:val="00AD41A2"/>
    <w:rsid w:val="00AD5A58"/>
    <w:rsid w:val="00AE17AC"/>
    <w:rsid w:val="00AF1F50"/>
    <w:rsid w:val="00AF75B9"/>
    <w:rsid w:val="00B037C7"/>
    <w:rsid w:val="00B15258"/>
    <w:rsid w:val="00B1567D"/>
    <w:rsid w:val="00B23E47"/>
    <w:rsid w:val="00B54A5E"/>
    <w:rsid w:val="00B66BFC"/>
    <w:rsid w:val="00B81668"/>
    <w:rsid w:val="00B82FDB"/>
    <w:rsid w:val="00B84948"/>
    <w:rsid w:val="00B85574"/>
    <w:rsid w:val="00B86408"/>
    <w:rsid w:val="00B94A2D"/>
    <w:rsid w:val="00B97E69"/>
    <w:rsid w:val="00BA29AA"/>
    <w:rsid w:val="00BA4F74"/>
    <w:rsid w:val="00BB5A1B"/>
    <w:rsid w:val="00BD4833"/>
    <w:rsid w:val="00BE318C"/>
    <w:rsid w:val="00BF68C9"/>
    <w:rsid w:val="00C010E7"/>
    <w:rsid w:val="00C1114D"/>
    <w:rsid w:val="00C143D3"/>
    <w:rsid w:val="00C47E25"/>
    <w:rsid w:val="00C51451"/>
    <w:rsid w:val="00C60305"/>
    <w:rsid w:val="00C626BC"/>
    <w:rsid w:val="00C62B9F"/>
    <w:rsid w:val="00C80D34"/>
    <w:rsid w:val="00C829DB"/>
    <w:rsid w:val="00C82E5A"/>
    <w:rsid w:val="00C86683"/>
    <w:rsid w:val="00C9701A"/>
    <w:rsid w:val="00CA0EDA"/>
    <w:rsid w:val="00CA1E0C"/>
    <w:rsid w:val="00CA78EF"/>
    <w:rsid w:val="00CB5E61"/>
    <w:rsid w:val="00CC5715"/>
    <w:rsid w:val="00CC7D3B"/>
    <w:rsid w:val="00CD01F6"/>
    <w:rsid w:val="00CD1F03"/>
    <w:rsid w:val="00CF3D63"/>
    <w:rsid w:val="00CF6D04"/>
    <w:rsid w:val="00D107EA"/>
    <w:rsid w:val="00D13EC8"/>
    <w:rsid w:val="00D30157"/>
    <w:rsid w:val="00D30AE5"/>
    <w:rsid w:val="00D44175"/>
    <w:rsid w:val="00D52B26"/>
    <w:rsid w:val="00D5415C"/>
    <w:rsid w:val="00D54FAC"/>
    <w:rsid w:val="00D55FBC"/>
    <w:rsid w:val="00D603A1"/>
    <w:rsid w:val="00D62DCC"/>
    <w:rsid w:val="00D65616"/>
    <w:rsid w:val="00D66491"/>
    <w:rsid w:val="00D70131"/>
    <w:rsid w:val="00D738E5"/>
    <w:rsid w:val="00D873E9"/>
    <w:rsid w:val="00D908F3"/>
    <w:rsid w:val="00D9241A"/>
    <w:rsid w:val="00D96931"/>
    <w:rsid w:val="00DA02F3"/>
    <w:rsid w:val="00DA5601"/>
    <w:rsid w:val="00DA7E4A"/>
    <w:rsid w:val="00DB121A"/>
    <w:rsid w:val="00DB5828"/>
    <w:rsid w:val="00DC798F"/>
    <w:rsid w:val="00DD4470"/>
    <w:rsid w:val="00DD550D"/>
    <w:rsid w:val="00DE4900"/>
    <w:rsid w:val="00E13209"/>
    <w:rsid w:val="00E21902"/>
    <w:rsid w:val="00E42963"/>
    <w:rsid w:val="00E501C2"/>
    <w:rsid w:val="00E520BD"/>
    <w:rsid w:val="00E54965"/>
    <w:rsid w:val="00E60A9A"/>
    <w:rsid w:val="00E613E2"/>
    <w:rsid w:val="00E6533F"/>
    <w:rsid w:val="00E76987"/>
    <w:rsid w:val="00E810CB"/>
    <w:rsid w:val="00E84A23"/>
    <w:rsid w:val="00E8613D"/>
    <w:rsid w:val="00EB258F"/>
    <w:rsid w:val="00EC165E"/>
    <w:rsid w:val="00EC34D9"/>
    <w:rsid w:val="00EC77D7"/>
    <w:rsid w:val="00ED45C8"/>
    <w:rsid w:val="00EF37C3"/>
    <w:rsid w:val="00EF7AFF"/>
    <w:rsid w:val="00F067D9"/>
    <w:rsid w:val="00F12C89"/>
    <w:rsid w:val="00F17AF4"/>
    <w:rsid w:val="00F33482"/>
    <w:rsid w:val="00F36BA0"/>
    <w:rsid w:val="00F37219"/>
    <w:rsid w:val="00F52072"/>
    <w:rsid w:val="00F5524F"/>
    <w:rsid w:val="00F57758"/>
    <w:rsid w:val="00F65DCE"/>
    <w:rsid w:val="00F70FEB"/>
    <w:rsid w:val="00F85EC3"/>
    <w:rsid w:val="00FA2039"/>
    <w:rsid w:val="00FA4E35"/>
    <w:rsid w:val="00FB749C"/>
    <w:rsid w:val="00FB7D01"/>
    <w:rsid w:val="00FD0D0F"/>
    <w:rsid w:val="00FD6507"/>
    <w:rsid w:val="00FE0F42"/>
    <w:rsid w:val="00FE4C6F"/>
    <w:rsid w:val="00FF326B"/>
    <w:rsid w:val="00FF64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AD7DC"/>
  <w15:chartTrackingRefBased/>
  <w15:docId w15:val="{FCFB91B4-7EDF-FE4D-A843-50F4380D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color w:val="808080" w:themeColor="background1" w:themeShade="80"/>
        <w:szCs w:val="3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4F74"/>
    <w:pPr>
      <w:widowControl w:val="0"/>
      <w:spacing w:after="120" w:line="264" w:lineRule="auto"/>
      <w:jc w:val="both"/>
    </w:pPr>
    <w:rPr>
      <w:color w:val="auto"/>
      <w:sz w:val="22"/>
    </w:rPr>
  </w:style>
  <w:style w:type="paragraph" w:styleId="Ttulo1">
    <w:name w:val="heading 1"/>
    <w:aliases w:val="Nivel 1"/>
    <w:basedOn w:val="Normal"/>
    <w:next w:val="Normal"/>
    <w:link w:val="Ttulo1Car"/>
    <w:uiPriority w:val="9"/>
    <w:qFormat/>
    <w:rsid w:val="0050607A"/>
    <w:pPr>
      <w:numPr>
        <w:numId w:val="1"/>
      </w:numPr>
      <w:spacing w:after="240"/>
      <w:outlineLvl w:val="0"/>
    </w:pPr>
    <w:rPr>
      <w:b/>
      <w:color w:val="A31A16"/>
      <w:sz w:val="40"/>
    </w:rPr>
  </w:style>
  <w:style w:type="paragraph" w:styleId="Ttulo2">
    <w:name w:val="heading 2"/>
    <w:aliases w:val="Nivel 2"/>
    <w:basedOn w:val="Normal"/>
    <w:next w:val="Normal"/>
    <w:link w:val="Ttulo2Car"/>
    <w:uiPriority w:val="9"/>
    <w:unhideWhenUsed/>
    <w:qFormat/>
    <w:rsid w:val="009F63DD"/>
    <w:pPr>
      <w:numPr>
        <w:ilvl w:val="1"/>
        <w:numId w:val="1"/>
      </w:numPr>
      <w:tabs>
        <w:tab w:val="left" w:pos="709"/>
      </w:tabs>
      <w:spacing w:before="240"/>
      <w:ind w:left="709" w:hanging="709"/>
      <w:outlineLvl w:val="1"/>
    </w:pPr>
    <w:rPr>
      <w:b/>
      <w:color w:val="3B3B3B" w:themeColor="text2" w:themeShade="40"/>
      <w:sz w:val="24"/>
      <w:szCs w:val="26"/>
    </w:rPr>
  </w:style>
  <w:style w:type="paragraph" w:styleId="Ttulo3">
    <w:name w:val="heading 3"/>
    <w:aliases w:val="Nivel 3"/>
    <w:basedOn w:val="Normal"/>
    <w:next w:val="Normal"/>
    <w:link w:val="Ttulo3Car"/>
    <w:uiPriority w:val="9"/>
    <w:unhideWhenUsed/>
    <w:qFormat/>
    <w:rsid w:val="0050607A"/>
    <w:pPr>
      <w:numPr>
        <w:ilvl w:val="2"/>
        <w:numId w:val="1"/>
      </w:numPr>
      <w:spacing w:before="240"/>
      <w:outlineLvl w:val="2"/>
    </w:pPr>
    <w:rPr>
      <w:b/>
      <w:color w:val="3B3B3B" w:themeColor="text2" w:themeShade="40"/>
      <w:sz w:val="24"/>
      <w:szCs w:val="24"/>
    </w:rPr>
  </w:style>
  <w:style w:type="paragraph" w:styleId="Ttulo4">
    <w:name w:val="heading 4"/>
    <w:aliases w:val="Nivel 4"/>
    <w:basedOn w:val="Normal"/>
    <w:next w:val="Normal"/>
    <w:link w:val="Ttulo4Car"/>
    <w:uiPriority w:val="9"/>
    <w:unhideWhenUsed/>
    <w:qFormat/>
    <w:rsid w:val="0050607A"/>
    <w:pPr>
      <w:numPr>
        <w:ilvl w:val="3"/>
        <w:numId w:val="1"/>
      </w:numPr>
      <w:spacing w:before="240"/>
      <w:outlineLvl w:val="3"/>
    </w:pPr>
    <w:rPr>
      <w:b/>
      <w:iCs/>
      <w:color w:val="3B3B3B" w:themeColor="text2" w:themeShade="40"/>
      <w:sz w:val="24"/>
    </w:rPr>
  </w:style>
  <w:style w:type="paragraph" w:styleId="Ttulo5">
    <w:name w:val="heading 5"/>
    <w:aliases w:val="Nivel 5"/>
    <w:basedOn w:val="Normal"/>
    <w:next w:val="Normal"/>
    <w:link w:val="Ttulo5Car"/>
    <w:uiPriority w:val="9"/>
    <w:unhideWhenUsed/>
    <w:qFormat/>
    <w:rsid w:val="0050607A"/>
    <w:pPr>
      <w:numPr>
        <w:ilvl w:val="4"/>
        <w:numId w:val="1"/>
      </w:numPr>
      <w:spacing w:before="240"/>
      <w:outlineLvl w:val="4"/>
    </w:pPr>
    <w:rPr>
      <w:b/>
      <w:color w:val="3B3B3B" w:themeColor="text2" w:themeShade="40"/>
      <w:sz w:val="24"/>
    </w:rPr>
  </w:style>
  <w:style w:type="paragraph" w:styleId="Ttulo6">
    <w:name w:val="heading 6"/>
    <w:aliases w:val="Nivel 6"/>
    <w:basedOn w:val="Normal"/>
    <w:next w:val="Normal"/>
    <w:link w:val="Ttulo6Car"/>
    <w:uiPriority w:val="9"/>
    <w:unhideWhenUsed/>
    <w:qFormat/>
    <w:rsid w:val="0050607A"/>
    <w:pPr>
      <w:numPr>
        <w:ilvl w:val="5"/>
        <w:numId w:val="1"/>
      </w:numPr>
      <w:spacing w:before="240"/>
      <w:outlineLvl w:val="5"/>
    </w:pPr>
    <w:rPr>
      <w:b/>
      <w:color w:val="3B3B3B" w:themeColor="text2" w:themeShade="40"/>
      <w:sz w:val="24"/>
    </w:rPr>
  </w:style>
  <w:style w:type="paragraph" w:styleId="Ttulo7">
    <w:name w:val="heading 7"/>
    <w:aliases w:val="Nivel 7"/>
    <w:basedOn w:val="Normal"/>
    <w:next w:val="Normal"/>
    <w:link w:val="Ttulo7Car"/>
    <w:uiPriority w:val="9"/>
    <w:unhideWhenUsed/>
    <w:qFormat/>
    <w:rsid w:val="0050607A"/>
    <w:pPr>
      <w:numPr>
        <w:ilvl w:val="6"/>
        <w:numId w:val="1"/>
      </w:numPr>
      <w:spacing w:before="240"/>
      <w:outlineLvl w:val="6"/>
    </w:pPr>
    <w:rPr>
      <w:b/>
      <w:iCs/>
      <w:color w:val="1A2138" w:themeColor="background2" w:themeShade="BF"/>
      <w:sz w:val="24"/>
    </w:rPr>
  </w:style>
  <w:style w:type="paragraph" w:styleId="Ttulo8">
    <w:name w:val="heading 8"/>
    <w:aliases w:val="Nivel 8"/>
    <w:basedOn w:val="Normal"/>
    <w:next w:val="Normal"/>
    <w:link w:val="Ttulo8Car"/>
    <w:uiPriority w:val="9"/>
    <w:unhideWhenUsed/>
    <w:qFormat/>
    <w:rsid w:val="0050607A"/>
    <w:pPr>
      <w:numPr>
        <w:ilvl w:val="7"/>
        <w:numId w:val="1"/>
      </w:numPr>
      <w:spacing w:before="240"/>
      <w:outlineLvl w:val="7"/>
    </w:pPr>
    <w:rPr>
      <w:b/>
      <w:color w:val="3B3B3B" w:themeColor="text2" w:themeShade="40"/>
      <w:sz w:val="24"/>
      <w:szCs w:val="21"/>
    </w:rPr>
  </w:style>
  <w:style w:type="paragraph" w:styleId="Ttulo9">
    <w:name w:val="heading 9"/>
    <w:basedOn w:val="Normal"/>
    <w:next w:val="Normal"/>
    <w:link w:val="Ttulo9Car"/>
    <w:uiPriority w:val="9"/>
    <w:semiHidden/>
    <w:unhideWhenUsed/>
    <w:qFormat/>
    <w:rsid w:val="00CD01F6"/>
    <w:pPr>
      <w:numPr>
        <w:ilvl w:val="8"/>
        <w:numId w:val="1"/>
      </w:numPr>
      <w:spacing w:before="40" w:after="0"/>
      <w:outlineLvl w:val="8"/>
    </w:pPr>
    <w:rPr>
      <w:rFonts w:asciiTheme="majorHAnsi" w:hAnsiTheme="majorHAns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Nivel 1 Car"/>
    <w:basedOn w:val="Fuentedeprrafopredeter"/>
    <w:link w:val="Ttulo1"/>
    <w:uiPriority w:val="9"/>
    <w:rsid w:val="0050607A"/>
    <w:rPr>
      <w:b/>
      <w:color w:val="A31A16"/>
      <w:sz w:val="40"/>
    </w:rPr>
  </w:style>
  <w:style w:type="character" w:customStyle="1" w:styleId="Ttulo2Car">
    <w:name w:val="Título 2 Car"/>
    <w:aliases w:val="Nivel 2 Car"/>
    <w:basedOn w:val="Fuentedeprrafopredeter"/>
    <w:link w:val="Ttulo2"/>
    <w:uiPriority w:val="9"/>
    <w:rsid w:val="009F63DD"/>
    <w:rPr>
      <w:b/>
      <w:color w:val="3B3B3B" w:themeColor="text2" w:themeShade="40"/>
      <w:sz w:val="24"/>
      <w:szCs w:val="26"/>
    </w:rPr>
  </w:style>
  <w:style w:type="character" w:customStyle="1" w:styleId="Ttulo3Car">
    <w:name w:val="Título 3 Car"/>
    <w:aliases w:val="Nivel 3 Car"/>
    <w:basedOn w:val="Fuentedeprrafopredeter"/>
    <w:link w:val="Ttulo3"/>
    <w:uiPriority w:val="9"/>
    <w:rsid w:val="0050607A"/>
    <w:rPr>
      <w:b/>
      <w:color w:val="3B3B3B" w:themeColor="text2" w:themeShade="40"/>
      <w:sz w:val="24"/>
      <w:szCs w:val="24"/>
    </w:rPr>
  </w:style>
  <w:style w:type="character" w:customStyle="1" w:styleId="Ttulo4Car">
    <w:name w:val="Título 4 Car"/>
    <w:aliases w:val="Nivel 4 Car"/>
    <w:basedOn w:val="Fuentedeprrafopredeter"/>
    <w:link w:val="Ttulo4"/>
    <w:uiPriority w:val="9"/>
    <w:rsid w:val="0050607A"/>
    <w:rPr>
      <w:b/>
      <w:iCs/>
      <w:color w:val="3B3B3B" w:themeColor="text2" w:themeShade="40"/>
      <w:sz w:val="24"/>
    </w:rPr>
  </w:style>
  <w:style w:type="character" w:customStyle="1" w:styleId="Ttulo5Car">
    <w:name w:val="Título 5 Car"/>
    <w:aliases w:val="Nivel 5 Car"/>
    <w:basedOn w:val="Fuentedeprrafopredeter"/>
    <w:link w:val="Ttulo5"/>
    <w:uiPriority w:val="9"/>
    <w:rsid w:val="0050607A"/>
    <w:rPr>
      <w:b/>
      <w:color w:val="3B3B3B" w:themeColor="text2" w:themeShade="40"/>
      <w:sz w:val="24"/>
    </w:rPr>
  </w:style>
  <w:style w:type="character" w:customStyle="1" w:styleId="Ttulo6Car">
    <w:name w:val="Título 6 Car"/>
    <w:aliases w:val="Nivel 6 Car"/>
    <w:basedOn w:val="Fuentedeprrafopredeter"/>
    <w:link w:val="Ttulo6"/>
    <w:uiPriority w:val="9"/>
    <w:rsid w:val="0050607A"/>
    <w:rPr>
      <w:b/>
      <w:color w:val="3B3B3B" w:themeColor="text2" w:themeShade="40"/>
      <w:sz w:val="24"/>
    </w:rPr>
  </w:style>
  <w:style w:type="character" w:customStyle="1" w:styleId="Ttulo7Car">
    <w:name w:val="Título 7 Car"/>
    <w:aliases w:val="Nivel 7 Car"/>
    <w:basedOn w:val="Fuentedeprrafopredeter"/>
    <w:link w:val="Ttulo7"/>
    <w:uiPriority w:val="9"/>
    <w:rsid w:val="0050607A"/>
    <w:rPr>
      <w:b/>
      <w:iCs/>
      <w:color w:val="1A2138" w:themeColor="background2" w:themeShade="BF"/>
      <w:sz w:val="24"/>
    </w:rPr>
  </w:style>
  <w:style w:type="character" w:customStyle="1" w:styleId="Ttulo8Car">
    <w:name w:val="Título 8 Car"/>
    <w:aliases w:val="Nivel 8 Car"/>
    <w:basedOn w:val="Fuentedeprrafopredeter"/>
    <w:link w:val="Ttulo8"/>
    <w:uiPriority w:val="9"/>
    <w:rsid w:val="0050607A"/>
    <w:rPr>
      <w:b/>
      <w:color w:val="3B3B3B" w:themeColor="text2" w:themeShade="40"/>
      <w:sz w:val="24"/>
      <w:szCs w:val="21"/>
    </w:rPr>
  </w:style>
  <w:style w:type="character" w:customStyle="1" w:styleId="Ttulo9Car">
    <w:name w:val="Título 9 Car"/>
    <w:basedOn w:val="Fuentedeprrafopredeter"/>
    <w:link w:val="Ttulo9"/>
    <w:uiPriority w:val="9"/>
    <w:semiHidden/>
    <w:rsid w:val="00CD01F6"/>
    <w:rPr>
      <w:rFonts w:asciiTheme="majorHAnsi" w:hAnsiTheme="majorHAnsi"/>
      <w:i/>
      <w:iCs/>
      <w:color w:val="272727" w:themeColor="text1" w:themeTint="D8"/>
      <w:sz w:val="21"/>
      <w:szCs w:val="21"/>
    </w:rPr>
  </w:style>
  <w:style w:type="paragraph" w:styleId="Encabezado">
    <w:name w:val="header"/>
    <w:basedOn w:val="Normal"/>
    <w:link w:val="EncabezadoCar"/>
    <w:uiPriority w:val="99"/>
    <w:unhideWhenUsed/>
    <w:rsid w:val="001D58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D585F"/>
  </w:style>
  <w:style w:type="paragraph" w:styleId="Piedepgina">
    <w:name w:val="footer"/>
    <w:basedOn w:val="Normal"/>
    <w:link w:val="PiedepginaCar"/>
    <w:uiPriority w:val="99"/>
    <w:unhideWhenUsed/>
    <w:rsid w:val="001D58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D585F"/>
  </w:style>
  <w:style w:type="paragraph" w:customStyle="1" w:styleId="SubttutloPORTADADOCUMENTO">
    <w:name w:val="Subtítutlo PORTADA DOCUMENTO"/>
    <w:basedOn w:val="Normal"/>
    <w:qFormat/>
    <w:rsid w:val="007011FE"/>
    <w:pPr>
      <w:numPr>
        <w:ilvl w:val="1"/>
      </w:numPr>
      <w:spacing w:before="240" w:after="240"/>
      <w:ind w:left="3119"/>
    </w:pPr>
    <w:rPr>
      <w:rFonts w:eastAsiaTheme="minorEastAsia"/>
      <w:b/>
      <w:color w:val="808080" w:themeColor="background1" w:themeShade="80"/>
      <w:spacing w:val="15"/>
      <w:sz w:val="36"/>
    </w:rPr>
  </w:style>
  <w:style w:type="character" w:styleId="nfasisintenso">
    <w:name w:val="Intense Emphasis"/>
    <w:basedOn w:val="Fuentedeprrafopredeter"/>
    <w:uiPriority w:val="21"/>
    <w:rsid w:val="00351A13"/>
    <w:rPr>
      <w:i/>
      <w:iCs/>
      <w:color w:val="00AA9B" w:themeColor="accent1"/>
    </w:rPr>
  </w:style>
  <w:style w:type="paragraph" w:customStyle="1" w:styleId="SubttuloPORTADA02">
    <w:name w:val="Subtítulo PORTADA_02"/>
    <w:basedOn w:val="Normal"/>
    <w:qFormat/>
    <w:rsid w:val="007011FE"/>
    <w:pPr>
      <w:spacing w:before="240" w:after="240"/>
      <w:ind w:left="3119"/>
    </w:pPr>
    <w:rPr>
      <w:color w:val="A31A16"/>
      <w:sz w:val="32"/>
    </w:rPr>
  </w:style>
  <w:style w:type="paragraph" w:styleId="Prrafodelista">
    <w:name w:val="List Paragraph"/>
    <w:aliases w:val="Lista - Párrafo,Table of contents numbered,Párrafo Numerado,List bullet 1,Párrafo 1,Párrafo,Bullets,Gráfico Título,Estilo párrafo Título principal sin numerar,Parrafo normal,Liste 1"/>
    <w:basedOn w:val="Normal"/>
    <w:link w:val="PrrafodelistaCar"/>
    <w:uiPriority w:val="34"/>
    <w:qFormat/>
    <w:rsid w:val="00916057"/>
    <w:pPr>
      <w:ind w:left="720"/>
      <w:contextualSpacing/>
    </w:pPr>
  </w:style>
  <w:style w:type="character" w:styleId="Referenciaintensa">
    <w:name w:val="Intense Reference"/>
    <w:basedOn w:val="Fuentedeprrafopredeter"/>
    <w:uiPriority w:val="32"/>
    <w:rsid w:val="00351A13"/>
    <w:rPr>
      <w:b/>
      <w:bCs/>
      <w:smallCaps/>
      <w:color w:val="00AA9B" w:themeColor="accent1"/>
      <w:spacing w:val="5"/>
    </w:rPr>
  </w:style>
  <w:style w:type="paragraph" w:customStyle="1" w:styleId="cita">
    <w:name w:val="cita"/>
    <w:basedOn w:val="FRASEDESTACADA"/>
    <w:link w:val="citaCar"/>
    <w:qFormat/>
    <w:rsid w:val="00351A13"/>
    <w:rPr>
      <w:color w:val="A31A16"/>
    </w:rPr>
  </w:style>
  <w:style w:type="paragraph" w:customStyle="1" w:styleId="Ttulodeprrafo">
    <w:name w:val="Título de párrafo"/>
    <w:basedOn w:val="Normal"/>
    <w:rsid w:val="00476452"/>
    <w:pPr>
      <w:spacing w:before="240"/>
    </w:pPr>
    <w:rPr>
      <w:b/>
      <w:sz w:val="24"/>
    </w:rPr>
  </w:style>
  <w:style w:type="paragraph" w:customStyle="1" w:styleId="ApartadoLETRA">
    <w:name w:val="Apartado LETRA"/>
    <w:basedOn w:val="Ttulodeprrafo"/>
    <w:rsid w:val="00476452"/>
    <w:pPr>
      <w:numPr>
        <w:numId w:val="2"/>
      </w:numPr>
      <w:ind w:left="425" w:hanging="425"/>
    </w:pPr>
    <w:rPr>
      <w:color w:val="00AA9B" w:themeColor="accent1"/>
    </w:rPr>
  </w:style>
  <w:style w:type="table" w:styleId="Tablaconcuadrcula">
    <w:name w:val="Table Grid"/>
    <w:basedOn w:val="Tablanormal"/>
    <w:uiPriority w:val="1"/>
    <w:rsid w:val="00E61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GRFICO">
    <w:name w:val="Título GRÁFICO"/>
    <w:basedOn w:val="Normal"/>
    <w:rsid w:val="00476452"/>
    <w:pPr>
      <w:spacing w:after="0" w:line="240" w:lineRule="auto"/>
    </w:pPr>
    <w:rPr>
      <w:b/>
      <w:bCs/>
      <w:color w:val="FFFFFF" w:themeColor="background1"/>
      <w:sz w:val="18"/>
      <w:szCs w:val="18"/>
    </w:rPr>
  </w:style>
  <w:style w:type="paragraph" w:customStyle="1" w:styleId="FuenteGRFICO">
    <w:name w:val="Fuente GRÁFICO"/>
    <w:basedOn w:val="Normal"/>
    <w:rsid w:val="00476452"/>
    <w:pPr>
      <w:spacing w:before="120" w:after="240" w:line="240" w:lineRule="auto"/>
    </w:pPr>
    <w:rPr>
      <w:color w:val="808080" w:themeColor="background1" w:themeShade="80"/>
      <w:sz w:val="16"/>
      <w:szCs w:val="16"/>
    </w:rPr>
  </w:style>
  <w:style w:type="paragraph" w:customStyle="1" w:styleId="Listanivel1">
    <w:name w:val="Lista nivel 1"/>
    <w:basedOn w:val="Normal"/>
    <w:rsid w:val="00476452"/>
    <w:pPr>
      <w:numPr>
        <w:numId w:val="3"/>
      </w:numPr>
      <w:spacing w:before="120"/>
      <w:ind w:left="284" w:hanging="284"/>
    </w:pPr>
  </w:style>
  <w:style w:type="paragraph" w:customStyle="1" w:styleId="INFOPORTADA01">
    <w:name w:val="INFO PORTADA 01"/>
    <w:basedOn w:val="SubttuloPORTADA02"/>
    <w:rsid w:val="00D738E5"/>
    <w:pPr>
      <w:ind w:left="3402" w:hanging="283"/>
    </w:pPr>
    <w:rPr>
      <w:b/>
      <w:bCs/>
      <w:color w:val="F04641" w:themeColor="accent2"/>
      <w:sz w:val="28"/>
    </w:rPr>
  </w:style>
  <w:style w:type="paragraph" w:customStyle="1" w:styleId="FECHAPORTADA">
    <w:name w:val="FECHA PORTADA"/>
    <w:basedOn w:val="SubttuloPORTADA02"/>
    <w:rsid w:val="00D738E5"/>
    <w:rPr>
      <w:b/>
      <w:bCs/>
      <w:color w:val="232D4B" w:themeColor="background2"/>
      <w:sz w:val="28"/>
    </w:rPr>
  </w:style>
  <w:style w:type="paragraph" w:customStyle="1" w:styleId="Nivel1LETRA">
    <w:name w:val="Nivel 1 LETRA"/>
    <w:basedOn w:val="Prrafodelista"/>
    <w:rsid w:val="00476452"/>
    <w:pPr>
      <w:numPr>
        <w:numId w:val="4"/>
      </w:numPr>
      <w:spacing w:after="240"/>
      <w:ind w:left="992" w:hanging="992"/>
      <w:outlineLvl w:val="0"/>
    </w:pPr>
    <w:rPr>
      <w:b/>
      <w:color w:val="005573" w:themeColor="accent3"/>
      <w:sz w:val="40"/>
    </w:rPr>
  </w:style>
  <w:style w:type="paragraph" w:customStyle="1" w:styleId="Nivel2LETRA">
    <w:name w:val="Nivel 2 LETRA"/>
    <w:basedOn w:val="Nivel1LETRA"/>
    <w:rsid w:val="002C3662"/>
    <w:pPr>
      <w:numPr>
        <w:numId w:val="5"/>
      </w:numPr>
      <w:spacing w:before="240" w:after="120"/>
      <w:ind w:left="709" w:hanging="709"/>
    </w:pPr>
    <w:rPr>
      <w:color w:val="00AA9B" w:themeColor="accent1"/>
      <w:sz w:val="24"/>
    </w:rPr>
  </w:style>
  <w:style w:type="paragraph" w:customStyle="1" w:styleId="Nivel3LETRA">
    <w:name w:val="Nivel 3 LETRA"/>
    <w:basedOn w:val="Nivel2LETRA"/>
    <w:rsid w:val="00346FDF"/>
    <w:pPr>
      <w:numPr>
        <w:numId w:val="6"/>
      </w:numPr>
      <w:ind w:left="851" w:hanging="851"/>
    </w:pPr>
  </w:style>
  <w:style w:type="paragraph" w:customStyle="1" w:styleId="Nivel4LETRA">
    <w:name w:val="Nivel 4 LETRA"/>
    <w:basedOn w:val="Nivel3LETRA"/>
    <w:rsid w:val="00737FC8"/>
    <w:pPr>
      <w:numPr>
        <w:numId w:val="7"/>
      </w:numPr>
      <w:ind w:hanging="1080"/>
    </w:pPr>
  </w:style>
  <w:style w:type="paragraph" w:customStyle="1" w:styleId="Nivel5LETRA">
    <w:name w:val="Nivel 5 LETRA"/>
    <w:basedOn w:val="Nivel4LETRA"/>
    <w:rsid w:val="00476452"/>
    <w:pPr>
      <w:numPr>
        <w:numId w:val="8"/>
      </w:numPr>
      <w:ind w:left="1276" w:hanging="1276"/>
    </w:pPr>
  </w:style>
  <w:style w:type="paragraph" w:customStyle="1" w:styleId="TEXTOENDESTACADOAZUL">
    <w:name w:val="TEXTO EN DESTACADO AZUL"/>
    <w:basedOn w:val="Normal"/>
    <w:rsid w:val="003F64A7"/>
    <w:pPr>
      <w:spacing w:line="240" w:lineRule="auto"/>
    </w:pPr>
    <w:rPr>
      <w:b/>
      <w:bCs/>
      <w:color w:val="FFFFFF" w:themeColor="background1"/>
      <w:sz w:val="18"/>
      <w:szCs w:val="18"/>
    </w:rPr>
  </w:style>
  <w:style w:type="paragraph" w:customStyle="1" w:styleId="TTULOENDESTACADOS">
    <w:name w:val="TÍTULO EN DESTACADOS"/>
    <w:basedOn w:val="TEXTOENDESTACADOAZUL"/>
    <w:rsid w:val="00555878"/>
    <w:rPr>
      <w:color w:val="00AA9B" w:themeColor="accent1"/>
      <w:sz w:val="22"/>
    </w:rPr>
  </w:style>
  <w:style w:type="paragraph" w:customStyle="1" w:styleId="TEXTOENESTACADOGRIS">
    <w:name w:val="TEXTO EN ESTACADO GRIS"/>
    <w:basedOn w:val="TEXTOENDESTACADOAZUL"/>
    <w:rsid w:val="00555878"/>
    <w:rPr>
      <w:color w:val="232D4B" w:themeColor="background2"/>
    </w:rPr>
  </w:style>
  <w:style w:type="paragraph" w:styleId="TDC1">
    <w:name w:val="toc 1"/>
    <w:basedOn w:val="Normal"/>
    <w:next w:val="Normal"/>
    <w:autoRedefine/>
    <w:uiPriority w:val="39"/>
    <w:unhideWhenUsed/>
    <w:rsid w:val="005301A4"/>
    <w:pPr>
      <w:tabs>
        <w:tab w:val="left" w:pos="426"/>
        <w:tab w:val="right" w:leader="dot" w:pos="10194"/>
      </w:tabs>
      <w:spacing w:before="120" w:line="240" w:lineRule="auto"/>
    </w:pPr>
    <w:rPr>
      <w:rFonts w:cs="Arial"/>
      <w:b/>
      <w:bCs/>
      <w:noProof/>
      <w:color w:val="A31A16"/>
      <w:sz w:val="24"/>
      <w:szCs w:val="24"/>
    </w:rPr>
  </w:style>
  <w:style w:type="paragraph" w:styleId="TDC2">
    <w:name w:val="toc 2"/>
    <w:basedOn w:val="Normal"/>
    <w:next w:val="Normal"/>
    <w:autoRedefine/>
    <w:uiPriority w:val="39"/>
    <w:unhideWhenUsed/>
    <w:rsid w:val="00860605"/>
    <w:pPr>
      <w:tabs>
        <w:tab w:val="left" w:pos="1134"/>
        <w:tab w:val="right" w:leader="dot" w:pos="10194"/>
      </w:tabs>
      <w:spacing w:before="120" w:line="240" w:lineRule="auto"/>
    </w:pPr>
    <w:rPr>
      <w:noProof/>
      <w:color w:val="3B3B3B" w:themeColor="text2" w:themeShade="40"/>
      <w:szCs w:val="22"/>
    </w:rPr>
  </w:style>
  <w:style w:type="paragraph" w:styleId="TDC3">
    <w:name w:val="toc 3"/>
    <w:basedOn w:val="Normal"/>
    <w:next w:val="Normal"/>
    <w:autoRedefine/>
    <w:uiPriority w:val="39"/>
    <w:unhideWhenUsed/>
    <w:rsid w:val="00594725"/>
    <w:pPr>
      <w:tabs>
        <w:tab w:val="left" w:pos="1985"/>
        <w:tab w:val="right" w:leader="dot" w:pos="10194"/>
      </w:tabs>
      <w:spacing w:before="120" w:line="240" w:lineRule="auto"/>
      <w:ind w:left="1701" w:hanging="709"/>
    </w:pPr>
    <w:rPr>
      <w:noProof/>
      <w:color w:val="000000" w:themeColor="text1"/>
      <w:szCs w:val="36"/>
    </w:rPr>
  </w:style>
  <w:style w:type="character" w:styleId="Hipervnculo">
    <w:name w:val="Hyperlink"/>
    <w:basedOn w:val="Fuentedeprrafopredeter"/>
    <w:uiPriority w:val="99"/>
    <w:unhideWhenUsed/>
    <w:rsid w:val="005B495B"/>
    <w:rPr>
      <w:rFonts w:ascii="Arial" w:hAnsi="Arial"/>
      <w:sz w:val="22"/>
      <w:u w:val="single"/>
    </w:rPr>
  </w:style>
  <w:style w:type="paragraph" w:customStyle="1" w:styleId="TABLATEXTOS">
    <w:name w:val="TABLA TEXTOS"/>
    <w:basedOn w:val="Normal"/>
    <w:rsid w:val="00476452"/>
    <w:pPr>
      <w:spacing w:before="120"/>
    </w:pPr>
    <w:rPr>
      <w:sz w:val="18"/>
      <w:szCs w:val="18"/>
    </w:rPr>
  </w:style>
  <w:style w:type="paragraph" w:customStyle="1" w:styleId="TABLASCIFRAS">
    <w:name w:val="TABLAS (CIFRAS)"/>
    <w:basedOn w:val="Normal"/>
    <w:rsid w:val="00476452"/>
    <w:pPr>
      <w:spacing w:after="0" w:line="240" w:lineRule="auto"/>
      <w:jc w:val="right"/>
    </w:pPr>
    <w:rPr>
      <w:b/>
      <w:bCs/>
      <w:sz w:val="18"/>
      <w:szCs w:val="18"/>
    </w:rPr>
  </w:style>
  <w:style w:type="paragraph" w:customStyle="1" w:styleId="TABLACABECERA">
    <w:name w:val="TABLA CABECERA"/>
    <w:basedOn w:val="Normal"/>
    <w:rsid w:val="00476452"/>
    <w:pPr>
      <w:spacing w:after="0" w:line="240" w:lineRule="auto"/>
    </w:pPr>
    <w:rPr>
      <w:b/>
      <w:bCs/>
      <w:color w:val="FFFFFF" w:themeColor="background1"/>
      <w:szCs w:val="20"/>
    </w:rPr>
  </w:style>
  <w:style w:type="paragraph" w:customStyle="1" w:styleId="CUADRORESUMENTEXTO">
    <w:name w:val="CUADRO RESUMEN TEXTO"/>
    <w:basedOn w:val="Normal"/>
    <w:rsid w:val="00476452"/>
    <w:rPr>
      <w:color w:val="808080" w:themeColor="background1" w:themeShade="80"/>
    </w:rPr>
  </w:style>
  <w:style w:type="paragraph" w:styleId="TDC4">
    <w:name w:val="toc 4"/>
    <w:basedOn w:val="Normal"/>
    <w:next w:val="Normal"/>
    <w:autoRedefine/>
    <w:uiPriority w:val="39"/>
    <w:unhideWhenUsed/>
    <w:rsid w:val="00594725"/>
    <w:pPr>
      <w:tabs>
        <w:tab w:val="left" w:pos="2268"/>
        <w:tab w:val="right" w:leader="dot" w:pos="10194"/>
      </w:tabs>
      <w:spacing w:after="100"/>
      <w:ind w:left="1843" w:hanging="850"/>
    </w:pPr>
    <w:rPr>
      <w:noProof/>
      <w:color w:val="000000" w:themeColor="text1"/>
    </w:rPr>
  </w:style>
  <w:style w:type="paragraph" w:styleId="TDC5">
    <w:name w:val="toc 5"/>
    <w:basedOn w:val="Normal"/>
    <w:next w:val="Normal"/>
    <w:autoRedefine/>
    <w:uiPriority w:val="39"/>
    <w:unhideWhenUsed/>
    <w:rsid w:val="000F5F5E"/>
    <w:pPr>
      <w:tabs>
        <w:tab w:val="left" w:pos="2127"/>
        <w:tab w:val="right" w:leader="dot" w:pos="10194"/>
      </w:tabs>
      <w:spacing w:after="100"/>
      <w:ind w:left="2410" w:hanging="1417"/>
    </w:pPr>
    <w:rPr>
      <w:noProof/>
      <w:color w:val="00AA9B" w:themeColor="accent1"/>
    </w:rPr>
  </w:style>
  <w:style w:type="paragraph" w:customStyle="1" w:styleId="Listanivel2">
    <w:name w:val="Lista nivel 2"/>
    <w:basedOn w:val="Listanivel1"/>
    <w:rsid w:val="002D6A0F"/>
    <w:pPr>
      <w:numPr>
        <w:numId w:val="9"/>
      </w:numPr>
      <w:ind w:left="709" w:hanging="283"/>
    </w:pPr>
  </w:style>
  <w:style w:type="paragraph" w:customStyle="1" w:styleId="Listanivel3">
    <w:name w:val="Lista nivel 3"/>
    <w:basedOn w:val="Listanivel2"/>
    <w:rsid w:val="00476452"/>
    <w:pPr>
      <w:numPr>
        <w:numId w:val="10"/>
      </w:numPr>
      <w:ind w:left="1276" w:hanging="357"/>
    </w:pPr>
  </w:style>
  <w:style w:type="paragraph" w:customStyle="1" w:styleId="TABLATEXTOSLARGOS">
    <w:name w:val="TABLA TEXTOS LARGOS"/>
    <w:basedOn w:val="TABLATEXTOS"/>
    <w:rsid w:val="003F64A7"/>
  </w:style>
  <w:style w:type="paragraph" w:customStyle="1" w:styleId="CUADRORESUMENCabecera">
    <w:name w:val="CUADRO RESUMEN Cabecera"/>
    <w:basedOn w:val="Normal"/>
    <w:rsid w:val="007011FE"/>
    <w:pPr>
      <w:spacing w:after="0"/>
    </w:pPr>
    <w:rPr>
      <w:color w:val="A31A16"/>
      <w:sz w:val="36"/>
      <w:szCs w:val="36"/>
    </w:rPr>
  </w:style>
  <w:style w:type="paragraph" w:customStyle="1" w:styleId="TABLATEXTOSTOTAL">
    <w:name w:val="TABLA TEXTOS TOTAL"/>
    <w:basedOn w:val="TABLATEXTOS"/>
    <w:rsid w:val="00476452"/>
    <w:rPr>
      <w:b/>
      <w:bCs/>
      <w:color w:val="FFFFFF" w:themeColor="background1"/>
    </w:rPr>
  </w:style>
  <w:style w:type="paragraph" w:customStyle="1" w:styleId="TABLACIFRASTOTAL">
    <w:name w:val="TABLA (CIFRAS) TOTAL"/>
    <w:basedOn w:val="TABLASCIFRAS"/>
    <w:rsid w:val="002B079F"/>
    <w:rPr>
      <w:color w:val="FFFFFF" w:themeColor="background1"/>
    </w:rPr>
  </w:style>
  <w:style w:type="paragraph" w:styleId="Revisin">
    <w:name w:val="Revision"/>
    <w:hidden/>
    <w:uiPriority w:val="99"/>
    <w:semiHidden/>
    <w:rsid w:val="00DB5828"/>
    <w:pPr>
      <w:spacing w:after="0" w:line="240" w:lineRule="auto"/>
    </w:pPr>
    <w:rPr>
      <w:rFonts w:eastAsiaTheme="majorEastAsia"/>
      <w:color w:val="232D4B" w:themeColor="background2"/>
    </w:rPr>
  </w:style>
  <w:style w:type="paragraph" w:customStyle="1" w:styleId="FRASEDESTACADA">
    <w:name w:val="FRASE DESTACADA"/>
    <w:basedOn w:val="Normal"/>
    <w:link w:val="FRASEDESTACADACar"/>
    <w:rsid w:val="00476452"/>
    <w:rPr>
      <w:rFonts w:ascii="Verdana" w:hAnsi="Verdana"/>
      <w:b/>
      <w:i/>
      <w:color w:val="005573" w:themeColor="accent3"/>
      <w:sz w:val="24"/>
      <w:szCs w:val="28"/>
    </w:rPr>
  </w:style>
  <w:style w:type="paragraph" w:customStyle="1" w:styleId="Cabecerandice">
    <w:name w:val="Cabecera índice"/>
    <w:basedOn w:val="Normal"/>
    <w:rsid w:val="00594725"/>
    <w:rPr>
      <w:b/>
      <w:color w:val="C00000"/>
      <w:sz w:val="44"/>
    </w:rPr>
  </w:style>
  <w:style w:type="paragraph" w:customStyle="1" w:styleId="Estilo1">
    <w:name w:val="Estilo1"/>
    <w:basedOn w:val="Normal"/>
    <w:link w:val="Estilo1Car"/>
    <w:qFormat/>
    <w:rsid w:val="00351A13"/>
    <w:pPr>
      <w:spacing w:before="960" w:after="0" w:line="240" w:lineRule="auto"/>
      <w:ind w:left="3119"/>
      <w:contextualSpacing/>
    </w:pPr>
    <w:rPr>
      <w:b/>
      <w:color w:val="A31A16"/>
      <w:spacing w:val="-10"/>
      <w:kern w:val="28"/>
      <w:sz w:val="52"/>
      <w:szCs w:val="56"/>
    </w:rPr>
  </w:style>
  <w:style w:type="character" w:customStyle="1" w:styleId="FRASEDESTACADACar">
    <w:name w:val="FRASE DESTACADA Car"/>
    <w:basedOn w:val="Fuentedeprrafopredeter"/>
    <w:link w:val="FRASEDESTACADA"/>
    <w:rsid w:val="00351A13"/>
    <w:rPr>
      <w:rFonts w:ascii="Verdana" w:hAnsi="Verdana"/>
      <w:b/>
      <w:i/>
      <w:color w:val="005573" w:themeColor="accent3"/>
      <w:sz w:val="24"/>
      <w:szCs w:val="28"/>
    </w:rPr>
  </w:style>
  <w:style w:type="character" w:customStyle="1" w:styleId="Estilo1Car">
    <w:name w:val="Estilo1 Car"/>
    <w:basedOn w:val="Fuentedeprrafopredeter"/>
    <w:link w:val="Estilo1"/>
    <w:rsid w:val="00351A13"/>
    <w:rPr>
      <w:b/>
      <w:color w:val="A31A16"/>
      <w:spacing w:val="-10"/>
      <w:kern w:val="28"/>
      <w:sz w:val="52"/>
      <w:szCs w:val="56"/>
    </w:rPr>
  </w:style>
  <w:style w:type="character" w:styleId="nfasissutil">
    <w:name w:val="Subtle Emphasis"/>
    <w:aliases w:val="Destacado"/>
    <w:basedOn w:val="Fuentedeprrafopredeter"/>
    <w:uiPriority w:val="19"/>
    <w:qFormat/>
    <w:rsid w:val="00D5415C"/>
    <w:rPr>
      <w:i/>
      <w:iCs/>
      <w:color w:val="404040" w:themeColor="text1" w:themeTint="BF"/>
    </w:rPr>
  </w:style>
  <w:style w:type="character" w:customStyle="1" w:styleId="citaCar">
    <w:name w:val="cita Car"/>
    <w:basedOn w:val="FRASEDESTACADACar"/>
    <w:link w:val="cita"/>
    <w:rsid w:val="00351A13"/>
    <w:rPr>
      <w:rFonts w:ascii="Verdana" w:hAnsi="Verdana"/>
      <w:b/>
      <w:i/>
      <w:color w:val="A31A16"/>
      <w:sz w:val="24"/>
      <w:szCs w:val="28"/>
    </w:rPr>
  </w:style>
  <w:style w:type="paragraph" w:customStyle="1" w:styleId="Textocuerpo">
    <w:name w:val="Texto_cuerpo"/>
    <w:basedOn w:val="Normal"/>
    <w:link w:val="TextocuerpoCar"/>
    <w:qFormat/>
    <w:rsid w:val="00351A13"/>
  </w:style>
  <w:style w:type="character" w:customStyle="1" w:styleId="TextocuerpoCar">
    <w:name w:val="Texto_cuerpo Car"/>
    <w:basedOn w:val="Fuentedeprrafopredeter"/>
    <w:link w:val="Textocuerpo"/>
    <w:rsid w:val="00351A13"/>
    <w:rPr>
      <w:color w:val="232D4B" w:themeColor="background2"/>
    </w:rPr>
  </w:style>
  <w:style w:type="character" w:styleId="Nmerodepgina">
    <w:name w:val="page number"/>
    <w:basedOn w:val="Fuentedeprrafopredeter"/>
    <w:uiPriority w:val="99"/>
    <w:semiHidden/>
    <w:unhideWhenUsed/>
    <w:rsid w:val="00C143D3"/>
  </w:style>
  <w:style w:type="paragraph" w:customStyle="1" w:styleId="Textonumerado">
    <w:name w:val="Texto numerado"/>
    <w:link w:val="TextonumeradoCar"/>
    <w:autoRedefine/>
    <w:qFormat/>
    <w:rsid w:val="00C143D3"/>
    <w:pPr>
      <w:numPr>
        <w:numId w:val="11"/>
      </w:numPr>
      <w:spacing w:after="0" w:line="240" w:lineRule="auto"/>
    </w:pPr>
    <w:rPr>
      <w:rFonts w:ascii="Helvetica" w:hAnsi="Helvetica" w:cstheme="minorBidi"/>
      <w:noProof/>
      <w:color w:val="000000" w:themeColor="text1"/>
      <w:sz w:val="24"/>
      <w:szCs w:val="20"/>
      <w:lang w:eastAsia="es-ES"/>
    </w:rPr>
  </w:style>
  <w:style w:type="paragraph" w:customStyle="1" w:styleId="Ttulopropuesta">
    <w:name w:val="Título propuesta"/>
    <w:basedOn w:val="Ttulo2"/>
    <w:qFormat/>
    <w:rsid w:val="00C143D3"/>
    <w:pPr>
      <w:widowControl/>
      <w:numPr>
        <w:ilvl w:val="0"/>
        <w:numId w:val="0"/>
      </w:numPr>
      <w:tabs>
        <w:tab w:val="clear" w:pos="709"/>
      </w:tabs>
      <w:spacing w:after="240" w:line="216" w:lineRule="auto"/>
      <w:outlineLvl w:val="9"/>
    </w:pPr>
    <w:rPr>
      <w:rFonts w:ascii="Helvetica" w:hAnsi="Helvetica" w:cstheme="minorBidi"/>
      <w:b w:val="0"/>
      <w:color w:val="404040" w:themeColor="text1" w:themeTint="BF"/>
      <w:sz w:val="56"/>
      <w:szCs w:val="56"/>
    </w:rPr>
  </w:style>
  <w:style w:type="paragraph" w:styleId="NormalWeb">
    <w:name w:val="Normal (Web)"/>
    <w:basedOn w:val="Normal"/>
    <w:uiPriority w:val="99"/>
    <w:unhideWhenUsed/>
    <w:rsid w:val="00A3165F"/>
    <w:pPr>
      <w:widowControl/>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E6533F"/>
    <w:rPr>
      <w:color w:val="605E5C"/>
      <w:shd w:val="clear" w:color="auto" w:fill="E1DFDD"/>
    </w:rPr>
  </w:style>
  <w:style w:type="character" w:styleId="Hipervnculovisitado">
    <w:name w:val="FollowedHyperlink"/>
    <w:basedOn w:val="Fuentedeprrafopredeter"/>
    <w:uiPriority w:val="99"/>
    <w:semiHidden/>
    <w:unhideWhenUsed/>
    <w:rsid w:val="00E6533F"/>
    <w:rPr>
      <w:color w:val="EF4641" w:themeColor="followedHyperlink"/>
      <w:u w:val="single"/>
    </w:rPr>
  </w:style>
  <w:style w:type="paragraph" w:styleId="Descripcin">
    <w:name w:val="caption"/>
    <w:basedOn w:val="Normal"/>
    <w:next w:val="Normal"/>
    <w:uiPriority w:val="35"/>
    <w:unhideWhenUsed/>
    <w:qFormat/>
    <w:rsid w:val="001B1B09"/>
    <w:pPr>
      <w:widowControl/>
      <w:spacing w:before="120" w:after="200" w:line="240" w:lineRule="auto"/>
      <w:ind w:left="1287" w:hanging="720"/>
    </w:pPr>
    <w:rPr>
      <w:rFonts w:ascii="Helvetica" w:hAnsi="Helvetica" w:cstheme="minorBidi"/>
      <w:bCs/>
      <w:color w:val="404040" w:themeColor="text1" w:themeTint="BF"/>
      <w:sz w:val="18"/>
      <w:szCs w:val="18"/>
      <w:lang w:val="es-ES_tradnl"/>
    </w:rPr>
  </w:style>
  <w:style w:type="paragraph" w:styleId="Textonotapie">
    <w:name w:val="footnote text"/>
    <w:basedOn w:val="Normal"/>
    <w:link w:val="TextonotapieCar"/>
    <w:uiPriority w:val="99"/>
    <w:unhideWhenUsed/>
    <w:rsid w:val="00F52072"/>
    <w:pPr>
      <w:widowControl/>
      <w:spacing w:after="0" w:line="240" w:lineRule="auto"/>
    </w:pPr>
    <w:rPr>
      <w:rFonts w:ascii="Helvetica" w:hAnsi="Helvetica" w:cstheme="minorBidi"/>
      <w:color w:val="404040" w:themeColor="text1" w:themeTint="BF"/>
      <w:sz w:val="24"/>
      <w:szCs w:val="24"/>
      <w:lang w:val="es-ES_tradnl"/>
    </w:rPr>
  </w:style>
  <w:style w:type="character" w:customStyle="1" w:styleId="TextonotapieCar">
    <w:name w:val="Texto nota pie Car"/>
    <w:basedOn w:val="Fuentedeprrafopredeter"/>
    <w:link w:val="Textonotapie"/>
    <w:uiPriority w:val="99"/>
    <w:rsid w:val="00F52072"/>
    <w:rPr>
      <w:rFonts w:ascii="Helvetica" w:hAnsi="Helvetica" w:cstheme="minorBidi"/>
      <w:color w:val="404040" w:themeColor="text1" w:themeTint="BF"/>
      <w:sz w:val="24"/>
      <w:szCs w:val="24"/>
      <w:lang w:val="es-ES_tradnl"/>
    </w:rPr>
  </w:style>
  <w:style w:type="character" w:styleId="Refdenotaalpie">
    <w:name w:val="footnote reference"/>
    <w:basedOn w:val="Fuentedeprrafopredeter"/>
    <w:uiPriority w:val="99"/>
    <w:unhideWhenUsed/>
    <w:rsid w:val="00F52072"/>
    <w:rPr>
      <w:vertAlign w:val="superscript"/>
    </w:rPr>
  </w:style>
  <w:style w:type="character" w:styleId="Refdecomentario">
    <w:name w:val="annotation reference"/>
    <w:basedOn w:val="Fuentedeprrafopredeter"/>
    <w:uiPriority w:val="99"/>
    <w:semiHidden/>
    <w:unhideWhenUsed/>
    <w:rsid w:val="00C010E7"/>
    <w:rPr>
      <w:sz w:val="16"/>
      <w:szCs w:val="16"/>
    </w:rPr>
  </w:style>
  <w:style w:type="paragraph" w:styleId="Textocomentario">
    <w:name w:val="annotation text"/>
    <w:basedOn w:val="Normal"/>
    <w:link w:val="TextocomentarioCar"/>
    <w:uiPriority w:val="99"/>
    <w:semiHidden/>
    <w:unhideWhenUsed/>
    <w:rsid w:val="00C010E7"/>
    <w:pPr>
      <w:spacing w:line="240" w:lineRule="auto"/>
    </w:pPr>
    <w:rPr>
      <w:szCs w:val="20"/>
    </w:rPr>
  </w:style>
  <w:style w:type="character" w:customStyle="1" w:styleId="TextocomentarioCar">
    <w:name w:val="Texto comentario Car"/>
    <w:basedOn w:val="Fuentedeprrafopredeter"/>
    <w:link w:val="Textocomentario"/>
    <w:uiPriority w:val="99"/>
    <w:semiHidden/>
    <w:rsid w:val="00C010E7"/>
    <w:rPr>
      <w:color w:val="232D4B" w:themeColor="background2"/>
      <w:szCs w:val="20"/>
    </w:rPr>
  </w:style>
  <w:style w:type="paragraph" w:styleId="Asuntodelcomentario">
    <w:name w:val="annotation subject"/>
    <w:basedOn w:val="Textocomentario"/>
    <w:next w:val="Textocomentario"/>
    <w:link w:val="AsuntodelcomentarioCar"/>
    <w:uiPriority w:val="99"/>
    <w:semiHidden/>
    <w:unhideWhenUsed/>
    <w:rsid w:val="00C010E7"/>
    <w:rPr>
      <w:b/>
      <w:bCs/>
    </w:rPr>
  </w:style>
  <w:style w:type="character" w:customStyle="1" w:styleId="AsuntodelcomentarioCar">
    <w:name w:val="Asunto del comentario Car"/>
    <w:basedOn w:val="TextocomentarioCar"/>
    <w:link w:val="Asuntodelcomentario"/>
    <w:uiPriority w:val="99"/>
    <w:semiHidden/>
    <w:rsid w:val="00C010E7"/>
    <w:rPr>
      <w:b/>
      <w:bCs/>
      <w:color w:val="232D4B" w:themeColor="background2"/>
      <w:szCs w:val="20"/>
    </w:rPr>
  </w:style>
  <w:style w:type="paragraph" w:styleId="Textodeglobo">
    <w:name w:val="Balloon Text"/>
    <w:basedOn w:val="Normal"/>
    <w:link w:val="TextodegloboCar"/>
    <w:uiPriority w:val="99"/>
    <w:semiHidden/>
    <w:unhideWhenUsed/>
    <w:rsid w:val="00C010E7"/>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010E7"/>
    <w:rPr>
      <w:rFonts w:ascii="Times New Roman" w:hAnsi="Times New Roman" w:cs="Times New Roman"/>
      <w:color w:val="232D4B" w:themeColor="background2"/>
      <w:sz w:val="18"/>
      <w:szCs w:val="18"/>
    </w:rPr>
  </w:style>
  <w:style w:type="character" w:customStyle="1" w:styleId="PrrafodelistaCar">
    <w:name w:val="Párrafo de lista Car"/>
    <w:aliases w:val="Lista - Párrafo Car,Table of contents numbered Car,Párrafo Numerado Car,List bullet 1 Car,Párrafo 1 Car,Párrafo Car,Bullets Car,Gráfico Título Car,Estilo párrafo Título principal sin numerar Car,Parrafo normal Car,Liste 1 Car"/>
    <w:basedOn w:val="Fuentedeprrafopredeter"/>
    <w:link w:val="Prrafodelista"/>
    <w:uiPriority w:val="34"/>
    <w:rsid w:val="00C010E7"/>
    <w:rPr>
      <w:color w:val="232D4B" w:themeColor="background2"/>
    </w:rPr>
  </w:style>
  <w:style w:type="character" w:styleId="Fuerte">
    <w:name w:val="Strong"/>
    <w:basedOn w:val="Fuentedeprrafopredeter"/>
    <w:uiPriority w:val="22"/>
    <w:qFormat/>
    <w:rsid w:val="00FB749C"/>
    <w:rPr>
      <w:b/>
      <w:bCs/>
    </w:rPr>
  </w:style>
  <w:style w:type="table" w:styleId="Tabladecuadrcula4">
    <w:name w:val="Grid Table 4"/>
    <w:basedOn w:val="Tablanormal"/>
    <w:uiPriority w:val="49"/>
    <w:rsid w:val="00FB749C"/>
    <w:pPr>
      <w:spacing w:after="0" w:line="240" w:lineRule="auto"/>
    </w:pPr>
    <w:rPr>
      <w:rFonts w:ascii="Helvetica Neue Light" w:eastAsiaTheme="minorEastAsia" w:hAnsi="Helvetica Neue Light" w:cstheme="minorBidi"/>
      <w:color w:val="auto"/>
      <w:sz w:val="24"/>
      <w:szCs w:val="24"/>
      <w:lang w:val="es-ES_tradn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onumeradoCar">
    <w:name w:val="Texto numerado Car"/>
    <w:basedOn w:val="Fuentedeprrafopredeter"/>
    <w:link w:val="Textonumerado"/>
    <w:rsid w:val="001C4335"/>
    <w:rPr>
      <w:rFonts w:ascii="Helvetica" w:hAnsi="Helvetica" w:cstheme="minorBidi"/>
      <w:noProof/>
      <w:color w:val="000000" w:themeColor="text1"/>
      <w:sz w:val="24"/>
      <w:szCs w:val="20"/>
      <w:lang w:eastAsia="es-ES"/>
    </w:rPr>
  </w:style>
  <w:style w:type="table" w:styleId="Tablanormal4">
    <w:name w:val="Plain Table 4"/>
    <w:basedOn w:val="Tablanormal"/>
    <w:uiPriority w:val="44"/>
    <w:rsid w:val="00FD65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9044">
      <w:bodyDiv w:val="1"/>
      <w:marLeft w:val="0"/>
      <w:marRight w:val="0"/>
      <w:marTop w:val="0"/>
      <w:marBottom w:val="0"/>
      <w:divBdr>
        <w:top w:val="none" w:sz="0" w:space="0" w:color="auto"/>
        <w:left w:val="none" w:sz="0" w:space="0" w:color="auto"/>
        <w:bottom w:val="none" w:sz="0" w:space="0" w:color="auto"/>
        <w:right w:val="none" w:sz="0" w:space="0" w:color="auto"/>
      </w:divBdr>
    </w:div>
    <w:div w:id="27461235">
      <w:bodyDiv w:val="1"/>
      <w:marLeft w:val="0"/>
      <w:marRight w:val="0"/>
      <w:marTop w:val="0"/>
      <w:marBottom w:val="0"/>
      <w:divBdr>
        <w:top w:val="none" w:sz="0" w:space="0" w:color="auto"/>
        <w:left w:val="none" w:sz="0" w:space="0" w:color="auto"/>
        <w:bottom w:val="none" w:sz="0" w:space="0" w:color="auto"/>
        <w:right w:val="none" w:sz="0" w:space="0" w:color="auto"/>
      </w:divBdr>
    </w:div>
    <w:div w:id="32079059">
      <w:bodyDiv w:val="1"/>
      <w:marLeft w:val="0"/>
      <w:marRight w:val="0"/>
      <w:marTop w:val="0"/>
      <w:marBottom w:val="0"/>
      <w:divBdr>
        <w:top w:val="none" w:sz="0" w:space="0" w:color="auto"/>
        <w:left w:val="none" w:sz="0" w:space="0" w:color="auto"/>
        <w:bottom w:val="none" w:sz="0" w:space="0" w:color="auto"/>
        <w:right w:val="none" w:sz="0" w:space="0" w:color="auto"/>
      </w:divBdr>
    </w:div>
    <w:div w:id="33315526">
      <w:bodyDiv w:val="1"/>
      <w:marLeft w:val="0"/>
      <w:marRight w:val="0"/>
      <w:marTop w:val="0"/>
      <w:marBottom w:val="0"/>
      <w:divBdr>
        <w:top w:val="none" w:sz="0" w:space="0" w:color="auto"/>
        <w:left w:val="none" w:sz="0" w:space="0" w:color="auto"/>
        <w:bottom w:val="none" w:sz="0" w:space="0" w:color="auto"/>
        <w:right w:val="none" w:sz="0" w:space="0" w:color="auto"/>
      </w:divBdr>
      <w:divsChild>
        <w:div w:id="98648078">
          <w:marLeft w:val="0"/>
          <w:marRight w:val="0"/>
          <w:marTop w:val="0"/>
          <w:marBottom w:val="0"/>
          <w:divBdr>
            <w:top w:val="none" w:sz="0" w:space="0" w:color="auto"/>
            <w:left w:val="none" w:sz="0" w:space="0" w:color="auto"/>
            <w:bottom w:val="none" w:sz="0" w:space="0" w:color="auto"/>
            <w:right w:val="none" w:sz="0" w:space="0" w:color="auto"/>
          </w:divBdr>
          <w:divsChild>
            <w:div w:id="20583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0038">
      <w:bodyDiv w:val="1"/>
      <w:marLeft w:val="0"/>
      <w:marRight w:val="0"/>
      <w:marTop w:val="0"/>
      <w:marBottom w:val="0"/>
      <w:divBdr>
        <w:top w:val="none" w:sz="0" w:space="0" w:color="auto"/>
        <w:left w:val="none" w:sz="0" w:space="0" w:color="auto"/>
        <w:bottom w:val="none" w:sz="0" w:space="0" w:color="auto"/>
        <w:right w:val="none" w:sz="0" w:space="0" w:color="auto"/>
      </w:divBdr>
    </w:div>
    <w:div w:id="58015284">
      <w:bodyDiv w:val="1"/>
      <w:marLeft w:val="0"/>
      <w:marRight w:val="0"/>
      <w:marTop w:val="0"/>
      <w:marBottom w:val="0"/>
      <w:divBdr>
        <w:top w:val="none" w:sz="0" w:space="0" w:color="auto"/>
        <w:left w:val="none" w:sz="0" w:space="0" w:color="auto"/>
        <w:bottom w:val="none" w:sz="0" w:space="0" w:color="auto"/>
        <w:right w:val="none" w:sz="0" w:space="0" w:color="auto"/>
      </w:divBdr>
    </w:div>
    <w:div w:id="59331548">
      <w:bodyDiv w:val="1"/>
      <w:marLeft w:val="0"/>
      <w:marRight w:val="0"/>
      <w:marTop w:val="0"/>
      <w:marBottom w:val="0"/>
      <w:divBdr>
        <w:top w:val="none" w:sz="0" w:space="0" w:color="auto"/>
        <w:left w:val="none" w:sz="0" w:space="0" w:color="auto"/>
        <w:bottom w:val="none" w:sz="0" w:space="0" w:color="auto"/>
        <w:right w:val="none" w:sz="0" w:space="0" w:color="auto"/>
      </w:divBdr>
    </w:div>
    <w:div w:id="73550703">
      <w:bodyDiv w:val="1"/>
      <w:marLeft w:val="0"/>
      <w:marRight w:val="0"/>
      <w:marTop w:val="0"/>
      <w:marBottom w:val="0"/>
      <w:divBdr>
        <w:top w:val="none" w:sz="0" w:space="0" w:color="auto"/>
        <w:left w:val="none" w:sz="0" w:space="0" w:color="auto"/>
        <w:bottom w:val="none" w:sz="0" w:space="0" w:color="auto"/>
        <w:right w:val="none" w:sz="0" w:space="0" w:color="auto"/>
      </w:divBdr>
    </w:div>
    <w:div w:id="83914653">
      <w:bodyDiv w:val="1"/>
      <w:marLeft w:val="0"/>
      <w:marRight w:val="0"/>
      <w:marTop w:val="0"/>
      <w:marBottom w:val="0"/>
      <w:divBdr>
        <w:top w:val="none" w:sz="0" w:space="0" w:color="auto"/>
        <w:left w:val="none" w:sz="0" w:space="0" w:color="auto"/>
        <w:bottom w:val="none" w:sz="0" w:space="0" w:color="auto"/>
        <w:right w:val="none" w:sz="0" w:space="0" w:color="auto"/>
      </w:divBdr>
    </w:div>
    <w:div w:id="91123880">
      <w:bodyDiv w:val="1"/>
      <w:marLeft w:val="0"/>
      <w:marRight w:val="0"/>
      <w:marTop w:val="0"/>
      <w:marBottom w:val="0"/>
      <w:divBdr>
        <w:top w:val="none" w:sz="0" w:space="0" w:color="auto"/>
        <w:left w:val="none" w:sz="0" w:space="0" w:color="auto"/>
        <w:bottom w:val="none" w:sz="0" w:space="0" w:color="auto"/>
        <w:right w:val="none" w:sz="0" w:space="0" w:color="auto"/>
      </w:divBdr>
    </w:div>
    <w:div w:id="99110601">
      <w:bodyDiv w:val="1"/>
      <w:marLeft w:val="0"/>
      <w:marRight w:val="0"/>
      <w:marTop w:val="0"/>
      <w:marBottom w:val="0"/>
      <w:divBdr>
        <w:top w:val="none" w:sz="0" w:space="0" w:color="auto"/>
        <w:left w:val="none" w:sz="0" w:space="0" w:color="auto"/>
        <w:bottom w:val="none" w:sz="0" w:space="0" w:color="auto"/>
        <w:right w:val="none" w:sz="0" w:space="0" w:color="auto"/>
      </w:divBdr>
    </w:div>
    <w:div w:id="108016692">
      <w:bodyDiv w:val="1"/>
      <w:marLeft w:val="0"/>
      <w:marRight w:val="0"/>
      <w:marTop w:val="0"/>
      <w:marBottom w:val="0"/>
      <w:divBdr>
        <w:top w:val="none" w:sz="0" w:space="0" w:color="auto"/>
        <w:left w:val="none" w:sz="0" w:space="0" w:color="auto"/>
        <w:bottom w:val="none" w:sz="0" w:space="0" w:color="auto"/>
        <w:right w:val="none" w:sz="0" w:space="0" w:color="auto"/>
      </w:divBdr>
    </w:div>
    <w:div w:id="127548834">
      <w:bodyDiv w:val="1"/>
      <w:marLeft w:val="0"/>
      <w:marRight w:val="0"/>
      <w:marTop w:val="0"/>
      <w:marBottom w:val="0"/>
      <w:divBdr>
        <w:top w:val="none" w:sz="0" w:space="0" w:color="auto"/>
        <w:left w:val="none" w:sz="0" w:space="0" w:color="auto"/>
        <w:bottom w:val="none" w:sz="0" w:space="0" w:color="auto"/>
        <w:right w:val="none" w:sz="0" w:space="0" w:color="auto"/>
      </w:divBdr>
    </w:div>
    <w:div w:id="189756767">
      <w:bodyDiv w:val="1"/>
      <w:marLeft w:val="0"/>
      <w:marRight w:val="0"/>
      <w:marTop w:val="0"/>
      <w:marBottom w:val="0"/>
      <w:divBdr>
        <w:top w:val="none" w:sz="0" w:space="0" w:color="auto"/>
        <w:left w:val="none" w:sz="0" w:space="0" w:color="auto"/>
        <w:bottom w:val="none" w:sz="0" w:space="0" w:color="auto"/>
        <w:right w:val="none" w:sz="0" w:space="0" w:color="auto"/>
      </w:divBdr>
    </w:div>
    <w:div w:id="217979273">
      <w:bodyDiv w:val="1"/>
      <w:marLeft w:val="0"/>
      <w:marRight w:val="0"/>
      <w:marTop w:val="0"/>
      <w:marBottom w:val="0"/>
      <w:divBdr>
        <w:top w:val="none" w:sz="0" w:space="0" w:color="auto"/>
        <w:left w:val="none" w:sz="0" w:space="0" w:color="auto"/>
        <w:bottom w:val="none" w:sz="0" w:space="0" w:color="auto"/>
        <w:right w:val="none" w:sz="0" w:space="0" w:color="auto"/>
      </w:divBdr>
    </w:div>
    <w:div w:id="222639598">
      <w:bodyDiv w:val="1"/>
      <w:marLeft w:val="0"/>
      <w:marRight w:val="0"/>
      <w:marTop w:val="0"/>
      <w:marBottom w:val="0"/>
      <w:divBdr>
        <w:top w:val="none" w:sz="0" w:space="0" w:color="auto"/>
        <w:left w:val="none" w:sz="0" w:space="0" w:color="auto"/>
        <w:bottom w:val="none" w:sz="0" w:space="0" w:color="auto"/>
        <w:right w:val="none" w:sz="0" w:space="0" w:color="auto"/>
      </w:divBdr>
    </w:div>
    <w:div w:id="251669156">
      <w:bodyDiv w:val="1"/>
      <w:marLeft w:val="0"/>
      <w:marRight w:val="0"/>
      <w:marTop w:val="0"/>
      <w:marBottom w:val="0"/>
      <w:divBdr>
        <w:top w:val="none" w:sz="0" w:space="0" w:color="auto"/>
        <w:left w:val="none" w:sz="0" w:space="0" w:color="auto"/>
        <w:bottom w:val="none" w:sz="0" w:space="0" w:color="auto"/>
        <w:right w:val="none" w:sz="0" w:space="0" w:color="auto"/>
      </w:divBdr>
    </w:div>
    <w:div w:id="266347608">
      <w:bodyDiv w:val="1"/>
      <w:marLeft w:val="0"/>
      <w:marRight w:val="0"/>
      <w:marTop w:val="0"/>
      <w:marBottom w:val="0"/>
      <w:divBdr>
        <w:top w:val="none" w:sz="0" w:space="0" w:color="auto"/>
        <w:left w:val="none" w:sz="0" w:space="0" w:color="auto"/>
        <w:bottom w:val="none" w:sz="0" w:space="0" w:color="auto"/>
        <w:right w:val="none" w:sz="0" w:space="0" w:color="auto"/>
      </w:divBdr>
    </w:div>
    <w:div w:id="277415837">
      <w:bodyDiv w:val="1"/>
      <w:marLeft w:val="0"/>
      <w:marRight w:val="0"/>
      <w:marTop w:val="0"/>
      <w:marBottom w:val="0"/>
      <w:divBdr>
        <w:top w:val="none" w:sz="0" w:space="0" w:color="auto"/>
        <w:left w:val="none" w:sz="0" w:space="0" w:color="auto"/>
        <w:bottom w:val="none" w:sz="0" w:space="0" w:color="auto"/>
        <w:right w:val="none" w:sz="0" w:space="0" w:color="auto"/>
      </w:divBdr>
    </w:div>
    <w:div w:id="285737111">
      <w:bodyDiv w:val="1"/>
      <w:marLeft w:val="0"/>
      <w:marRight w:val="0"/>
      <w:marTop w:val="0"/>
      <w:marBottom w:val="0"/>
      <w:divBdr>
        <w:top w:val="none" w:sz="0" w:space="0" w:color="auto"/>
        <w:left w:val="none" w:sz="0" w:space="0" w:color="auto"/>
        <w:bottom w:val="none" w:sz="0" w:space="0" w:color="auto"/>
        <w:right w:val="none" w:sz="0" w:space="0" w:color="auto"/>
      </w:divBdr>
    </w:div>
    <w:div w:id="287778366">
      <w:bodyDiv w:val="1"/>
      <w:marLeft w:val="0"/>
      <w:marRight w:val="0"/>
      <w:marTop w:val="0"/>
      <w:marBottom w:val="0"/>
      <w:divBdr>
        <w:top w:val="none" w:sz="0" w:space="0" w:color="auto"/>
        <w:left w:val="none" w:sz="0" w:space="0" w:color="auto"/>
        <w:bottom w:val="none" w:sz="0" w:space="0" w:color="auto"/>
        <w:right w:val="none" w:sz="0" w:space="0" w:color="auto"/>
      </w:divBdr>
    </w:div>
    <w:div w:id="287784116">
      <w:bodyDiv w:val="1"/>
      <w:marLeft w:val="0"/>
      <w:marRight w:val="0"/>
      <w:marTop w:val="0"/>
      <w:marBottom w:val="0"/>
      <w:divBdr>
        <w:top w:val="none" w:sz="0" w:space="0" w:color="auto"/>
        <w:left w:val="none" w:sz="0" w:space="0" w:color="auto"/>
        <w:bottom w:val="none" w:sz="0" w:space="0" w:color="auto"/>
        <w:right w:val="none" w:sz="0" w:space="0" w:color="auto"/>
      </w:divBdr>
    </w:div>
    <w:div w:id="318005015">
      <w:bodyDiv w:val="1"/>
      <w:marLeft w:val="0"/>
      <w:marRight w:val="0"/>
      <w:marTop w:val="0"/>
      <w:marBottom w:val="0"/>
      <w:divBdr>
        <w:top w:val="none" w:sz="0" w:space="0" w:color="auto"/>
        <w:left w:val="none" w:sz="0" w:space="0" w:color="auto"/>
        <w:bottom w:val="none" w:sz="0" w:space="0" w:color="auto"/>
        <w:right w:val="none" w:sz="0" w:space="0" w:color="auto"/>
      </w:divBdr>
    </w:div>
    <w:div w:id="321278860">
      <w:bodyDiv w:val="1"/>
      <w:marLeft w:val="0"/>
      <w:marRight w:val="0"/>
      <w:marTop w:val="0"/>
      <w:marBottom w:val="0"/>
      <w:divBdr>
        <w:top w:val="none" w:sz="0" w:space="0" w:color="auto"/>
        <w:left w:val="none" w:sz="0" w:space="0" w:color="auto"/>
        <w:bottom w:val="none" w:sz="0" w:space="0" w:color="auto"/>
        <w:right w:val="none" w:sz="0" w:space="0" w:color="auto"/>
      </w:divBdr>
    </w:div>
    <w:div w:id="324894465">
      <w:bodyDiv w:val="1"/>
      <w:marLeft w:val="0"/>
      <w:marRight w:val="0"/>
      <w:marTop w:val="0"/>
      <w:marBottom w:val="0"/>
      <w:divBdr>
        <w:top w:val="none" w:sz="0" w:space="0" w:color="auto"/>
        <w:left w:val="none" w:sz="0" w:space="0" w:color="auto"/>
        <w:bottom w:val="none" w:sz="0" w:space="0" w:color="auto"/>
        <w:right w:val="none" w:sz="0" w:space="0" w:color="auto"/>
      </w:divBdr>
    </w:div>
    <w:div w:id="338239553">
      <w:bodyDiv w:val="1"/>
      <w:marLeft w:val="0"/>
      <w:marRight w:val="0"/>
      <w:marTop w:val="0"/>
      <w:marBottom w:val="0"/>
      <w:divBdr>
        <w:top w:val="none" w:sz="0" w:space="0" w:color="auto"/>
        <w:left w:val="none" w:sz="0" w:space="0" w:color="auto"/>
        <w:bottom w:val="none" w:sz="0" w:space="0" w:color="auto"/>
        <w:right w:val="none" w:sz="0" w:space="0" w:color="auto"/>
      </w:divBdr>
    </w:div>
    <w:div w:id="358168082">
      <w:bodyDiv w:val="1"/>
      <w:marLeft w:val="0"/>
      <w:marRight w:val="0"/>
      <w:marTop w:val="0"/>
      <w:marBottom w:val="0"/>
      <w:divBdr>
        <w:top w:val="none" w:sz="0" w:space="0" w:color="auto"/>
        <w:left w:val="none" w:sz="0" w:space="0" w:color="auto"/>
        <w:bottom w:val="none" w:sz="0" w:space="0" w:color="auto"/>
        <w:right w:val="none" w:sz="0" w:space="0" w:color="auto"/>
      </w:divBdr>
    </w:div>
    <w:div w:id="360134874">
      <w:bodyDiv w:val="1"/>
      <w:marLeft w:val="0"/>
      <w:marRight w:val="0"/>
      <w:marTop w:val="0"/>
      <w:marBottom w:val="0"/>
      <w:divBdr>
        <w:top w:val="none" w:sz="0" w:space="0" w:color="auto"/>
        <w:left w:val="none" w:sz="0" w:space="0" w:color="auto"/>
        <w:bottom w:val="none" w:sz="0" w:space="0" w:color="auto"/>
        <w:right w:val="none" w:sz="0" w:space="0" w:color="auto"/>
      </w:divBdr>
    </w:div>
    <w:div w:id="402408625">
      <w:bodyDiv w:val="1"/>
      <w:marLeft w:val="0"/>
      <w:marRight w:val="0"/>
      <w:marTop w:val="0"/>
      <w:marBottom w:val="0"/>
      <w:divBdr>
        <w:top w:val="none" w:sz="0" w:space="0" w:color="auto"/>
        <w:left w:val="none" w:sz="0" w:space="0" w:color="auto"/>
        <w:bottom w:val="none" w:sz="0" w:space="0" w:color="auto"/>
        <w:right w:val="none" w:sz="0" w:space="0" w:color="auto"/>
      </w:divBdr>
    </w:div>
    <w:div w:id="411662978">
      <w:bodyDiv w:val="1"/>
      <w:marLeft w:val="0"/>
      <w:marRight w:val="0"/>
      <w:marTop w:val="0"/>
      <w:marBottom w:val="0"/>
      <w:divBdr>
        <w:top w:val="none" w:sz="0" w:space="0" w:color="auto"/>
        <w:left w:val="none" w:sz="0" w:space="0" w:color="auto"/>
        <w:bottom w:val="none" w:sz="0" w:space="0" w:color="auto"/>
        <w:right w:val="none" w:sz="0" w:space="0" w:color="auto"/>
      </w:divBdr>
    </w:div>
    <w:div w:id="417795331">
      <w:bodyDiv w:val="1"/>
      <w:marLeft w:val="0"/>
      <w:marRight w:val="0"/>
      <w:marTop w:val="0"/>
      <w:marBottom w:val="0"/>
      <w:divBdr>
        <w:top w:val="none" w:sz="0" w:space="0" w:color="auto"/>
        <w:left w:val="none" w:sz="0" w:space="0" w:color="auto"/>
        <w:bottom w:val="none" w:sz="0" w:space="0" w:color="auto"/>
        <w:right w:val="none" w:sz="0" w:space="0" w:color="auto"/>
      </w:divBdr>
    </w:div>
    <w:div w:id="420490017">
      <w:bodyDiv w:val="1"/>
      <w:marLeft w:val="0"/>
      <w:marRight w:val="0"/>
      <w:marTop w:val="0"/>
      <w:marBottom w:val="0"/>
      <w:divBdr>
        <w:top w:val="none" w:sz="0" w:space="0" w:color="auto"/>
        <w:left w:val="none" w:sz="0" w:space="0" w:color="auto"/>
        <w:bottom w:val="none" w:sz="0" w:space="0" w:color="auto"/>
        <w:right w:val="none" w:sz="0" w:space="0" w:color="auto"/>
      </w:divBdr>
    </w:div>
    <w:div w:id="426077818">
      <w:bodyDiv w:val="1"/>
      <w:marLeft w:val="0"/>
      <w:marRight w:val="0"/>
      <w:marTop w:val="0"/>
      <w:marBottom w:val="0"/>
      <w:divBdr>
        <w:top w:val="none" w:sz="0" w:space="0" w:color="auto"/>
        <w:left w:val="none" w:sz="0" w:space="0" w:color="auto"/>
        <w:bottom w:val="none" w:sz="0" w:space="0" w:color="auto"/>
        <w:right w:val="none" w:sz="0" w:space="0" w:color="auto"/>
      </w:divBdr>
    </w:div>
    <w:div w:id="426779286">
      <w:bodyDiv w:val="1"/>
      <w:marLeft w:val="0"/>
      <w:marRight w:val="0"/>
      <w:marTop w:val="0"/>
      <w:marBottom w:val="0"/>
      <w:divBdr>
        <w:top w:val="none" w:sz="0" w:space="0" w:color="auto"/>
        <w:left w:val="none" w:sz="0" w:space="0" w:color="auto"/>
        <w:bottom w:val="none" w:sz="0" w:space="0" w:color="auto"/>
        <w:right w:val="none" w:sz="0" w:space="0" w:color="auto"/>
      </w:divBdr>
    </w:div>
    <w:div w:id="442069697">
      <w:bodyDiv w:val="1"/>
      <w:marLeft w:val="0"/>
      <w:marRight w:val="0"/>
      <w:marTop w:val="0"/>
      <w:marBottom w:val="0"/>
      <w:divBdr>
        <w:top w:val="none" w:sz="0" w:space="0" w:color="auto"/>
        <w:left w:val="none" w:sz="0" w:space="0" w:color="auto"/>
        <w:bottom w:val="none" w:sz="0" w:space="0" w:color="auto"/>
        <w:right w:val="none" w:sz="0" w:space="0" w:color="auto"/>
      </w:divBdr>
    </w:div>
    <w:div w:id="445662117">
      <w:bodyDiv w:val="1"/>
      <w:marLeft w:val="0"/>
      <w:marRight w:val="0"/>
      <w:marTop w:val="0"/>
      <w:marBottom w:val="0"/>
      <w:divBdr>
        <w:top w:val="none" w:sz="0" w:space="0" w:color="auto"/>
        <w:left w:val="none" w:sz="0" w:space="0" w:color="auto"/>
        <w:bottom w:val="none" w:sz="0" w:space="0" w:color="auto"/>
        <w:right w:val="none" w:sz="0" w:space="0" w:color="auto"/>
      </w:divBdr>
    </w:div>
    <w:div w:id="456067447">
      <w:bodyDiv w:val="1"/>
      <w:marLeft w:val="0"/>
      <w:marRight w:val="0"/>
      <w:marTop w:val="0"/>
      <w:marBottom w:val="0"/>
      <w:divBdr>
        <w:top w:val="none" w:sz="0" w:space="0" w:color="auto"/>
        <w:left w:val="none" w:sz="0" w:space="0" w:color="auto"/>
        <w:bottom w:val="none" w:sz="0" w:space="0" w:color="auto"/>
        <w:right w:val="none" w:sz="0" w:space="0" w:color="auto"/>
      </w:divBdr>
    </w:div>
    <w:div w:id="461581961">
      <w:bodyDiv w:val="1"/>
      <w:marLeft w:val="0"/>
      <w:marRight w:val="0"/>
      <w:marTop w:val="0"/>
      <w:marBottom w:val="0"/>
      <w:divBdr>
        <w:top w:val="none" w:sz="0" w:space="0" w:color="auto"/>
        <w:left w:val="none" w:sz="0" w:space="0" w:color="auto"/>
        <w:bottom w:val="none" w:sz="0" w:space="0" w:color="auto"/>
        <w:right w:val="none" w:sz="0" w:space="0" w:color="auto"/>
      </w:divBdr>
    </w:div>
    <w:div w:id="482738790">
      <w:bodyDiv w:val="1"/>
      <w:marLeft w:val="0"/>
      <w:marRight w:val="0"/>
      <w:marTop w:val="0"/>
      <w:marBottom w:val="0"/>
      <w:divBdr>
        <w:top w:val="none" w:sz="0" w:space="0" w:color="auto"/>
        <w:left w:val="none" w:sz="0" w:space="0" w:color="auto"/>
        <w:bottom w:val="none" w:sz="0" w:space="0" w:color="auto"/>
        <w:right w:val="none" w:sz="0" w:space="0" w:color="auto"/>
      </w:divBdr>
    </w:div>
    <w:div w:id="489250591">
      <w:bodyDiv w:val="1"/>
      <w:marLeft w:val="0"/>
      <w:marRight w:val="0"/>
      <w:marTop w:val="0"/>
      <w:marBottom w:val="0"/>
      <w:divBdr>
        <w:top w:val="none" w:sz="0" w:space="0" w:color="auto"/>
        <w:left w:val="none" w:sz="0" w:space="0" w:color="auto"/>
        <w:bottom w:val="none" w:sz="0" w:space="0" w:color="auto"/>
        <w:right w:val="none" w:sz="0" w:space="0" w:color="auto"/>
      </w:divBdr>
    </w:div>
    <w:div w:id="494145935">
      <w:bodyDiv w:val="1"/>
      <w:marLeft w:val="0"/>
      <w:marRight w:val="0"/>
      <w:marTop w:val="0"/>
      <w:marBottom w:val="0"/>
      <w:divBdr>
        <w:top w:val="none" w:sz="0" w:space="0" w:color="auto"/>
        <w:left w:val="none" w:sz="0" w:space="0" w:color="auto"/>
        <w:bottom w:val="none" w:sz="0" w:space="0" w:color="auto"/>
        <w:right w:val="none" w:sz="0" w:space="0" w:color="auto"/>
      </w:divBdr>
    </w:div>
    <w:div w:id="523127863">
      <w:bodyDiv w:val="1"/>
      <w:marLeft w:val="0"/>
      <w:marRight w:val="0"/>
      <w:marTop w:val="0"/>
      <w:marBottom w:val="0"/>
      <w:divBdr>
        <w:top w:val="none" w:sz="0" w:space="0" w:color="auto"/>
        <w:left w:val="none" w:sz="0" w:space="0" w:color="auto"/>
        <w:bottom w:val="none" w:sz="0" w:space="0" w:color="auto"/>
        <w:right w:val="none" w:sz="0" w:space="0" w:color="auto"/>
      </w:divBdr>
    </w:div>
    <w:div w:id="549342083">
      <w:bodyDiv w:val="1"/>
      <w:marLeft w:val="0"/>
      <w:marRight w:val="0"/>
      <w:marTop w:val="0"/>
      <w:marBottom w:val="0"/>
      <w:divBdr>
        <w:top w:val="none" w:sz="0" w:space="0" w:color="auto"/>
        <w:left w:val="none" w:sz="0" w:space="0" w:color="auto"/>
        <w:bottom w:val="none" w:sz="0" w:space="0" w:color="auto"/>
        <w:right w:val="none" w:sz="0" w:space="0" w:color="auto"/>
      </w:divBdr>
    </w:div>
    <w:div w:id="555163873">
      <w:bodyDiv w:val="1"/>
      <w:marLeft w:val="0"/>
      <w:marRight w:val="0"/>
      <w:marTop w:val="0"/>
      <w:marBottom w:val="0"/>
      <w:divBdr>
        <w:top w:val="none" w:sz="0" w:space="0" w:color="auto"/>
        <w:left w:val="none" w:sz="0" w:space="0" w:color="auto"/>
        <w:bottom w:val="none" w:sz="0" w:space="0" w:color="auto"/>
        <w:right w:val="none" w:sz="0" w:space="0" w:color="auto"/>
      </w:divBdr>
    </w:div>
    <w:div w:id="563873478">
      <w:bodyDiv w:val="1"/>
      <w:marLeft w:val="0"/>
      <w:marRight w:val="0"/>
      <w:marTop w:val="0"/>
      <w:marBottom w:val="0"/>
      <w:divBdr>
        <w:top w:val="none" w:sz="0" w:space="0" w:color="auto"/>
        <w:left w:val="none" w:sz="0" w:space="0" w:color="auto"/>
        <w:bottom w:val="none" w:sz="0" w:space="0" w:color="auto"/>
        <w:right w:val="none" w:sz="0" w:space="0" w:color="auto"/>
      </w:divBdr>
    </w:div>
    <w:div w:id="579828200">
      <w:bodyDiv w:val="1"/>
      <w:marLeft w:val="0"/>
      <w:marRight w:val="0"/>
      <w:marTop w:val="0"/>
      <w:marBottom w:val="0"/>
      <w:divBdr>
        <w:top w:val="none" w:sz="0" w:space="0" w:color="auto"/>
        <w:left w:val="none" w:sz="0" w:space="0" w:color="auto"/>
        <w:bottom w:val="none" w:sz="0" w:space="0" w:color="auto"/>
        <w:right w:val="none" w:sz="0" w:space="0" w:color="auto"/>
      </w:divBdr>
    </w:div>
    <w:div w:id="581063153">
      <w:bodyDiv w:val="1"/>
      <w:marLeft w:val="0"/>
      <w:marRight w:val="0"/>
      <w:marTop w:val="0"/>
      <w:marBottom w:val="0"/>
      <w:divBdr>
        <w:top w:val="none" w:sz="0" w:space="0" w:color="auto"/>
        <w:left w:val="none" w:sz="0" w:space="0" w:color="auto"/>
        <w:bottom w:val="none" w:sz="0" w:space="0" w:color="auto"/>
        <w:right w:val="none" w:sz="0" w:space="0" w:color="auto"/>
      </w:divBdr>
    </w:div>
    <w:div w:id="592206967">
      <w:bodyDiv w:val="1"/>
      <w:marLeft w:val="0"/>
      <w:marRight w:val="0"/>
      <w:marTop w:val="0"/>
      <w:marBottom w:val="0"/>
      <w:divBdr>
        <w:top w:val="none" w:sz="0" w:space="0" w:color="auto"/>
        <w:left w:val="none" w:sz="0" w:space="0" w:color="auto"/>
        <w:bottom w:val="none" w:sz="0" w:space="0" w:color="auto"/>
        <w:right w:val="none" w:sz="0" w:space="0" w:color="auto"/>
      </w:divBdr>
    </w:div>
    <w:div w:id="599408652">
      <w:bodyDiv w:val="1"/>
      <w:marLeft w:val="0"/>
      <w:marRight w:val="0"/>
      <w:marTop w:val="0"/>
      <w:marBottom w:val="0"/>
      <w:divBdr>
        <w:top w:val="none" w:sz="0" w:space="0" w:color="auto"/>
        <w:left w:val="none" w:sz="0" w:space="0" w:color="auto"/>
        <w:bottom w:val="none" w:sz="0" w:space="0" w:color="auto"/>
        <w:right w:val="none" w:sz="0" w:space="0" w:color="auto"/>
      </w:divBdr>
    </w:div>
    <w:div w:id="616452416">
      <w:bodyDiv w:val="1"/>
      <w:marLeft w:val="0"/>
      <w:marRight w:val="0"/>
      <w:marTop w:val="0"/>
      <w:marBottom w:val="0"/>
      <w:divBdr>
        <w:top w:val="none" w:sz="0" w:space="0" w:color="auto"/>
        <w:left w:val="none" w:sz="0" w:space="0" w:color="auto"/>
        <w:bottom w:val="none" w:sz="0" w:space="0" w:color="auto"/>
        <w:right w:val="none" w:sz="0" w:space="0" w:color="auto"/>
      </w:divBdr>
    </w:div>
    <w:div w:id="623973481">
      <w:bodyDiv w:val="1"/>
      <w:marLeft w:val="0"/>
      <w:marRight w:val="0"/>
      <w:marTop w:val="0"/>
      <w:marBottom w:val="0"/>
      <w:divBdr>
        <w:top w:val="none" w:sz="0" w:space="0" w:color="auto"/>
        <w:left w:val="none" w:sz="0" w:space="0" w:color="auto"/>
        <w:bottom w:val="none" w:sz="0" w:space="0" w:color="auto"/>
        <w:right w:val="none" w:sz="0" w:space="0" w:color="auto"/>
      </w:divBdr>
    </w:div>
    <w:div w:id="634871370">
      <w:bodyDiv w:val="1"/>
      <w:marLeft w:val="0"/>
      <w:marRight w:val="0"/>
      <w:marTop w:val="0"/>
      <w:marBottom w:val="0"/>
      <w:divBdr>
        <w:top w:val="none" w:sz="0" w:space="0" w:color="auto"/>
        <w:left w:val="none" w:sz="0" w:space="0" w:color="auto"/>
        <w:bottom w:val="none" w:sz="0" w:space="0" w:color="auto"/>
        <w:right w:val="none" w:sz="0" w:space="0" w:color="auto"/>
      </w:divBdr>
    </w:div>
    <w:div w:id="641925976">
      <w:bodyDiv w:val="1"/>
      <w:marLeft w:val="0"/>
      <w:marRight w:val="0"/>
      <w:marTop w:val="0"/>
      <w:marBottom w:val="0"/>
      <w:divBdr>
        <w:top w:val="none" w:sz="0" w:space="0" w:color="auto"/>
        <w:left w:val="none" w:sz="0" w:space="0" w:color="auto"/>
        <w:bottom w:val="none" w:sz="0" w:space="0" w:color="auto"/>
        <w:right w:val="none" w:sz="0" w:space="0" w:color="auto"/>
      </w:divBdr>
    </w:div>
    <w:div w:id="644431186">
      <w:bodyDiv w:val="1"/>
      <w:marLeft w:val="0"/>
      <w:marRight w:val="0"/>
      <w:marTop w:val="0"/>
      <w:marBottom w:val="0"/>
      <w:divBdr>
        <w:top w:val="none" w:sz="0" w:space="0" w:color="auto"/>
        <w:left w:val="none" w:sz="0" w:space="0" w:color="auto"/>
        <w:bottom w:val="none" w:sz="0" w:space="0" w:color="auto"/>
        <w:right w:val="none" w:sz="0" w:space="0" w:color="auto"/>
      </w:divBdr>
    </w:div>
    <w:div w:id="648441637">
      <w:bodyDiv w:val="1"/>
      <w:marLeft w:val="0"/>
      <w:marRight w:val="0"/>
      <w:marTop w:val="0"/>
      <w:marBottom w:val="0"/>
      <w:divBdr>
        <w:top w:val="none" w:sz="0" w:space="0" w:color="auto"/>
        <w:left w:val="none" w:sz="0" w:space="0" w:color="auto"/>
        <w:bottom w:val="none" w:sz="0" w:space="0" w:color="auto"/>
        <w:right w:val="none" w:sz="0" w:space="0" w:color="auto"/>
      </w:divBdr>
    </w:div>
    <w:div w:id="685403433">
      <w:bodyDiv w:val="1"/>
      <w:marLeft w:val="0"/>
      <w:marRight w:val="0"/>
      <w:marTop w:val="0"/>
      <w:marBottom w:val="0"/>
      <w:divBdr>
        <w:top w:val="none" w:sz="0" w:space="0" w:color="auto"/>
        <w:left w:val="none" w:sz="0" w:space="0" w:color="auto"/>
        <w:bottom w:val="none" w:sz="0" w:space="0" w:color="auto"/>
        <w:right w:val="none" w:sz="0" w:space="0" w:color="auto"/>
      </w:divBdr>
    </w:div>
    <w:div w:id="699355868">
      <w:bodyDiv w:val="1"/>
      <w:marLeft w:val="0"/>
      <w:marRight w:val="0"/>
      <w:marTop w:val="0"/>
      <w:marBottom w:val="0"/>
      <w:divBdr>
        <w:top w:val="none" w:sz="0" w:space="0" w:color="auto"/>
        <w:left w:val="none" w:sz="0" w:space="0" w:color="auto"/>
        <w:bottom w:val="none" w:sz="0" w:space="0" w:color="auto"/>
        <w:right w:val="none" w:sz="0" w:space="0" w:color="auto"/>
      </w:divBdr>
    </w:div>
    <w:div w:id="715279860">
      <w:bodyDiv w:val="1"/>
      <w:marLeft w:val="0"/>
      <w:marRight w:val="0"/>
      <w:marTop w:val="0"/>
      <w:marBottom w:val="0"/>
      <w:divBdr>
        <w:top w:val="none" w:sz="0" w:space="0" w:color="auto"/>
        <w:left w:val="none" w:sz="0" w:space="0" w:color="auto"/>
        <w:bottom w:val="none" w:sz="0" w:space="0" w:color="auto"/>
        <w:right w:val="none" w:sz="0" w:space="0" w:color="auto"/>
      </w:divBdr>
    </w:div>
    <w:div w:id="717051601">
      <w:bodyDiv w:val="1"/>
      <w:marLeft w:val="0"/>
      <w:marRight w:val="0"/>
      <w:marTop w:val="0"/>
      <w:marBottom w:val="0"/>
      <w:divBdr>
        <w:top w:val="none" w:sz="0" w:space="0" w:color="auto"/>
        <w:left w:val="none" w:sz="0" w:space="0" w:color="auto"/>
        <w:bottom w:val="none" w:sz="0" w:space="0" w:color="auto"/>
        <w:right w:val="none" w:sz="0" w:space="0" w:color="auto"/>
      </w:divBdr>
    </w:div>
    <w:div w:id="719940421">
      <w:bodyDiv w:val="1"/>
      <w:marLeft w:val="0"/>
      <w:marRight w:val="0"/>
      <w:marTop w:val="0"/>
      <w:marBottom w:val="0"/>
      <w:divBdr>
        <w:top w:val="none" w:sz="0" w:space="0" w:color="auto"/>
        <w:left w:val="none" w:sz="0" w:space="0" w:color="auto"/>
        <w:bottom w:val="none" w:sz="0" w:space="0" w:color="auto"/>
        <w:right w:val="none" w:sz="0" w:space="0" w:color="auto"/>
      </w:divBdr>
    </w:div>
    <w:div w:id="732584957">
      <w:bodyDiv w:val="1"/>
      <w:marLeft w:val="0"/>
      <w:marRight w:val="0"/>
      <w:marTop w:val="0"/>
      <w:marBottom w:val="0"/>
      <w:divBdr>
        <w:top w:val="none" w:sz="0" w:space="0" w:color="auto"/>
        <w:left w:val="none" w:sz="0" w:space="0" w:color="auto"/>
        <w:bottom w:val="none" w:sz="0" w:space="0" w:color="auto"/>
        <w:right w:val="none" w:sz="0" w:space="0" w:color="auto"/>
      </w:divBdr>
    </w:div>
    <w:div w:id="734936806">
      <w:bodyDiv w:val="1"/>
      <w:marLeft w:val="0"/>
      <w:marRight w:val="0"/>
      <w:marTop w:val="0"/>
      <w:marBottom w:val="0"/>
      <w:divBdr>
        <w:top w:val="none" w:sz="0" w:space="0" w:color="auto"/>
        <w:left w:val="none" w:sz="0" w:space="0" w:color="auto"/>
        <w:bottom w:val="none" w:sz="0" w:space="0" w:color="auto"/>
        <w:right w:val="none" w:sz="0" w:space="0" w:color="auto"/>
      </w:divBdr>
    </w:div>
    <w:div w:id="751781218">
      <w:bodyDiv w:val="1"/>
      <w:marLeft w:val="0"/>
      <w:marRight w:val="0"/>
      <w:marTop w:val="0"/>
      <w:marBottom w:val="0"/>
      <w:divBdr>
        <w:top w:val="none" w:sz="0" w:space="0" w:color="auto"/>
        <w:left w:val="none" w:sz="0" w:space="0" w:color="auto"/>
        <w:bottom w:val="none" w:sz="0" w:space="0" w:color="auto"/>
        <w:right w:val="none" w:sz="0" w:space="0" w:color="auto"/>
      </w:divBdr>
    </w:div>
    <w:div w:id="755978589">
      <w:bodyDiv w:val="1"/>
      <w:marLeft w:val="0"/>
      <w:marRight w:val="0"/>
      <w:marTop w:val="0"/>
      <w:marBottom w:val="0"/>
      <w:divBdr>
        <w:top w:val="none" w:sz="0" w:space="0" w:color="auto"/>
        <w:left w:val="none" w:sz="0" w:space="0" w:color="auto"/>
        <w:bottom w:val="none" w:sz="0" w:space="0" w:color="auto"/>
        <w:right w:val="none" w:sz="0" w:space="0" w:color="auto"/>
      </w:divBdr>
    </w:div>
    <w:div w:id="777527452">
      <w:bodyDiv w:val="1"/>
      <w:marLeft w:val="0"/>
      <w:marRight w:val="0"/>
      <w:marTop w:val="0"/>
      <w:marBottom w:val="0"/>
      <w:divBdr>
        <w:top w:val="none" w:sz="0" w:space="0" w:color="auto"/>
        <w:left w:val="none" w:sz="0" w:space="0" w:color="auto"/>
        <w:bottom w:val="none" w:sz="0" w:space="0" w:color="auto"/>
        <w:right w:val="none" w:sz="0" w:space="0" w:color="auto"/>
      </w:divBdr>
    </w:div>
    <w:div w:id="779837020">
      <w:bodyDiv w:val="1"/>
      <w:marLeft w:val="0"/>
      <w:marRight w:val="0"/>
      <w:marTop w:val="0"/>
      <w:marBottom w:val="0"/>
      <w:divBdr>
        <w:top w:val="none" w:sz="0" w:space="0" w:color="auto"/>
        <w:left w:val="none" w:sz="0" w:space="0" w:color="auto"/>
        <w:bottom w:val="none" w:sz="0" w:space="0" w:color="auto"/>
        <w:right w:val="none" w:sz="0" w:space="0" w:color="auto"/>
      </w:divBdr>
    </w:div>
    <w:div w:id="780032248">
      <w:bodyDiv w:val="1"/>
      <w:marLeft w:val="0"/>
      <w:marRight w:val="0"/>
      <w:marTop w:val="0"/>
      <w:marBottom w:val="0"/>
      <w:divBdr>
        <w:top w:val="none" w:sz="0" w:space="0" w:color="auto"/>
        <w:left w:val="none" w:sz="0" w:space="0" w:color="auto"/>
        <w:bottom w:val="none" w:sz="0" w:space="0" w:color="auto"/>
        <w:right w:val="none" w:sz="0" w:space="0" w:color="auto"/>
      </w:divBdr>
    </w:div>
    <w:div w:id="780538427">
      <w:bodyDiv w:val="1"/>
      <w:marLeft w:val="0"/>
      <w:marRight w:val="0"/>
      <w:marTop w:val="0"/>
      <w:marBottom w:val="0"/>
      <w:divBdr>
        <w:top w:val="none" w:sz="0" w:space="0" w:color="auto"/>
        <w:left w:val="none" w:sz="0" w:space="0" w:color="auto"/>
        <w:bottom w:val="none" w:sz="0" w:space="0" w:color="auto"/>
        <w:right w:val="none" w:sz="0" w:space="0" w:color="auto"/>
      </w:divBdr>
    </w:div>
    <w:div w:id="786389265">
      <w:bodyDiv w:val="1"/>
      <w:marLeft w:val="0"/>
      <w:marRight w:val="0"/>
      <w:marTop w:val="0"/>
      <w:marBottom w:val="0"/>
      <w:divBdr>
        <w:top w:val="none" w:sz="0" w:space="0" w:color="auto"/>
        <w:left w:val="none" w:sz="0" w:space="0" w:color="auto"/>
        <w:bottom w:val="none" w:sz="0" w:space="0" w:color="auto"/>
        <w:right w:val="none" w:sz="0" w:space="0" w:color="auto"/>
      </w:divBdr>
    </w:div>
    <w:div w:id="787360267">
      <w:bodyDiv w:val="1"/>
      <w:marLeft w:val="0"/>
      <w:marRight w:val="0"/>
      <w:marTop w:val="0"/>
      <w:marBottom w:val="0"/>
      <w:divBdr>
        <w:top w:val="none" w:sz="0" w:space="0" w:color="auto"/>
        <w:left w:val="none" w:sz="0" w:space="0" w:color="auto"/>
        <w:bottom w:val="none" w:sz="0" w:space="0" w:color="auto"/>
        <w:right w:val="none" w:sz="0" w:space="0" w:color="auto"/>
      </w:divBdr>
    </w:div>
    <w:div w:id="789591673">
      <w:bodyDiv w:val="1"/>
      <w:marLeft w:val="0"/>
      <w:marRight w:val="0"/>
      <w:marTop w:val="0"/>
      <w:marBottom w:val="0"/>
      <w:divBdr>
        <w:top w:val="none" w:sz="0" w:space="0" w:color="auto"/>
        <w:left w:val="none" w:sz="0" w:space="0" w:color="auto"/>
        <w:bottom w:val="none" w:sz="0" w:space="0" w:color="auto"/>
        <w:right w:val="none" w:sz="0" w:space="0" w:color="auto"/>
      </w:divBdr>
    </w:div>
    <w:div w:id="791441532">
      <w:bodyDiv w:val="1"/>
      <w:marLeft w:val="0"/>
      <w:marRight w:val="0"/>
      <w:marTop w:val="0"/>
      <w:marBottom w:val="0"/>
      <w:divBdr>
        <w:top w:val="none" w:sz="0" w:space="0" w:color="auto"/>
        <w:left w:val="none" w:sz="0" w:space="0" w:color="auto"/>
        <w:bottom w:val="none" w:sz="0" w:space="0" w:color="auto"/>
        <w:right w:val="none" w:sz="0" w:space="0" w:color="auto"/>
      </w:divBdr>
    </w:div>
    <w:div w:id="810102653">
      <w:bodyDiv w:val="1"/>
      <w:marLeft w:val="0"/>
      <w:marRight w:val="0"/>
      <w:marTop w:val="0"/>
      <w:marBottom w:val="0"/>
      <w:divBdr>
        <w:top w:val="none" w:sz="0" w:space="0" w:color="auto"/>
        <w:left w:val="none" w:sz="0" w:space="0" w:color="auto"/>
        <w:bottom w:val="none" w:sz="0" w:space="0" w:color="auto"/>
        <w:right w:val="none" w:sz="0" w:space="0" w:color="auto"/>
      </w:divBdr>
    </w:div>
    <w:div w:id="849176269">
      <w:bodyDiv w:val="1"/>
      <w:marLeft w:val="0"/>
      <w:marRight w:val="0"/>
      <w:marTop w:val="0"/>
      <w:marBottom w:val="0"/>
      <w:divBdr>
        <w:top w:val="none" w:sz="0" w:space="0" w:color="auto"/>
        <w:left w:val="none" w:sz="0" w:space="0" w:color="auto"/>
        <w:bottom w:val="none" w:sz="0" w:space="0" w:color="auto"/>
        <w:right w:val="none" w:sz="0" w:space="0" w:color="auto"/>
      </w:divBdr>
    </w:div>
    <w:div w:id="853768202">
      <w:bodyDiv w:val="1"/>
      <w:marLeft w:val="0"/>
      <w:marRight w:val="0"/>
      <w:marTop w:val="0"/>
      <w:marBottom w:val="0"/>
      <w:divBdr>
        <w:top w:val="none" w:sz="0" w:space="0" w:color="auto"/>
        <w:left w:val="none" w:sz="0" w:space="0" w:color="auto"/>
        <w:bottom w:val="none" w:sz="0" w:space="0" w:color="auto"/>
        <w:right w:val="none" w:sz="0" w:space="0" w:color="auto"/>
      </w:divBdr>
    </w:div>
    <w:div w:id="872159700">
      <w:bodyDiv w:val="1"/>
      <w:marLeft w:val="0"/>
      <w:marRight w:val="0"/>
      <w:marTop w:val="0"/>
      <w:marBottom w:val="0"/>
      <w:divBdr>
        <w:top w:val="none" w:sz="0" w:space="0" w:color="auto"/>
        <w:left w:val="none" w:sz="0" w:space="0" w:color="auto"/>
        <w:bottom w:val="none" w:sz="0" w:space="0" w:color="auto"/>
        <w:right w:val="none" w:sz="0" w:space="0" w:color="auto"/>
      </w:divBdr>
    </w:div>
    <w:div w:id="883325125">
      <w:bodyDiv w:val="1"/>
      <w:marLeft w:val="0"/>
      <w:marRight w:val="0"/>
      <w:marTop w:val="0"/>
      <w:marBottom w:val="0"/>
      <w:divBdr>
        <w:top w:val="none" w:sz="0" w:space="0" w:color="auto"/>
        <w:left w:val="none" w:sz="0" w:space="0" w:color="auto"/>
        <w:bottom w:val="none" w:sz="0" w:space="0" w:color="auto"/>
        <w:right w:val="none" w:sz="0" w:space="0" w:color="auto"/>
      </w:divBdr>
    </w:div>
    <w:div w:id="914514214">
      <w:bodyDiv w:val="1"/>
      <w:marLeft w:val="0"/>
      <w:marRight w:val="0"/>
      <w:marTop w:val="0"/>
      <w:marBottom w:val="0"/>
      <w:divBdr>
        <w:top w:val="none" w:sz="0" w:space="0" w:color="auto"/>
        <w:left w:val="none" w:sz="0" w:space="0" w:color="auto"/>
        <w:bottom w:val="none" w:sz="0" w:space="0" w:color="auto"/>
        <w:right w:val="none" w:sz="0" w:space="0" w:color="auto"/>
      </w:divBdr>
    </w:div>
    <w:div w:id="934245403">
      <w:bodyDiv w:val="1"/>
      <w:marLeft w:val="0"/>
      <w:marRight w:val="0"/>
      <w:marTop w:val="0"/>
      <w:marBottom w:val="0"/>
      <w:divBdr>
        <w:top w:val="none" w:sz="0" w:space="0" w:color="auto"/>
        <w:left w:val="none" w:sz="0" w:space="0" w:color="auto"/>
        <w:bottom w:val="none" w:sz="0" w:space="0" w:color="auto"/>
        <w:right w:val="none" w:sz="0" w:space="0" w:color="auto"/>
      </w:divBdr>
    </w:div>
    <w:div w:id="936475666">
      <w:bodyDiv w:val="1"/>
      <w:marLeft w:val="0"/>
      <w:marRight w:val="0"/>
      <w:marTop w:val="0"/>
      <w:marBottom w:val="0"/>
      <w:divBdr>
        <w:top w:val="none" w:sz="0" w:space="0" w:color="auto"/>
        <w:left w:val="none" w:sz="0" w:space="0" w:color="auto"/>
        <w:bottom w:val="none" w:sz="0" w:space="0" w:color="auto"/>
        <w:right w:val="none" w:sz="0" w:space="0" w:color="auto"/>
      </w:divBdr>
    </w:div>
    <w:div w:id="948044175">
      <w:bodyDiv w:val="1"/>
      <w:marLeft w:val="0"/>
      <w:marRight w:val="0"/>
      <w:marTop w:val="0"/>
      <w:marBottom w:val="0"/>
      <w:divBdr>
        <w:top w:val="none" w:sz="0" w:space="0" w:color="auto"/>
        <w:left w:val="none" w:sz="0" w:space="0" w:color="auto"/>
        <w:bottom w:val="none" w:sz="0" w:space="0" w:color="auto"/>
        <w:right w:val="none" w:sz="0" w:space="0" w:color="auto"/>
      </w:divBdr>
    </w:div>
    <w:div w:id="949094510">
      <w:bodyDiv w:val="1"/>
      <w:marLeft w:val="0"/>
      <w:marRight w:val="0"/>
      <w:marTop w:val="0"/>
      <w:marBottom w:val="0"/>
      <w:divBdr>
        <w:top w:val="none" w:sz="0" w:space="0" w:color="auto"/>
        <w:left w:val="none" w:sz="0" w:space="0" w:color="auto"/>
        <w:bottom w:val="none" w:sz="0" w:space="0" w:color="auto"/>
        <w:right w:val="none" w:sz="0" w:space="0" w:color="auto"/>
      </w:divBdr>
    </w:div>
    <w:div w:id="954404446">
      <w:bodyDiv w:val="1"/>
      <w:marLeft w:val="0"/>
      <w:marRight w:val="0"/>
      <w:marTop w:val="0"/>
      <w:marBottom w:val="0"/>
      <w:divBdr>
        <w:top w:val="none" w:sz="0" w:space="0" w:color="auto"/>
        <w:left w:val="none" w:sz="0" w:space="0" w:color="auto"/>
        <w:bottom w:val="none" w:sz="0" w:space="0" w:color="auto"/>
        <w:right w:val="none" w:sz="0" w:space="0" w:color="auto"/>
      </w:divBdr>
    </w:div>
    <w:div w:id="958607069">
      <w:bodyDiv w:val="1"/>
      <w:marLeft w:val="0"/>
      <w:marRight w:val="0"/>
      <w:marTop w:val="0"/>
      <w:marBottom w:val="0"/>
      <w:divBdr>
        <w:top w:val="none" w:sz="0" w:space="0" w:color="auto"/>
        <w:left w:val="none" w:sz="0" w:space="0" w:color="auto"/>
        <w:bottom w:val="none" w:sz="0" w:space="0" w:color="auto"/>
        <w:right w:val="none" w:sz="0" w:space="0" w:color="auto"/>
      </w:divBdr>
    </w:div>
    <w:div w:id="978998277">
      <w:bodyDiv w:val="1"/>
      <w:marLeft w:val="0"/>
      <w:marRight w:val="0"/>
      <w:marTop w:val="0"/>
      <w:marBottom w:val="0"/>
      <w:divBdr>
        <w:top w:val="none" w:sz="0" w:space="0" w:color="auto"/>
        <w:left w:val="none" w:sz="0" w:space="0" w:color="auto"/>
        <w:bottom w:val="none" w:sz="0" w:space="0" w:color="auto"/>
        <w:right w:val="none" w:sz="0" w:space="0" w:color="auto"/>
      </w:divBdr>
    </w:div>
    <w:div w:id="980384284">
      <w:bodyDiv w:val="1"/>
      <w:marLeft w:val="0"/>
      <w:marRight w:val="0"/>
      <w:marTop w:val="0"/>
      <w:marBottom w:val="0"/>
      <w:divBdr>
        <w:top w:val="none" w:sz="0" w:space="0" w:color="auto"/>
        <w:left w:val="none" w:sz="0" w:space="0" w:color="auto"/>
        <w:bottom w:val="none" w:sz="0" w:space="0" w:color="auto"/>
        <w:right w:val="none" w:sz="0" w:space="0" w:color="auto"/>
      </w:divBdr>
    </w:div>
    <w:div w:id="983655976">
      <w:bodyDiv w:val="1"/>
      <w:marLeft w:val="0"/>
      <w:marRight w:val="0"/>
      <w:marTop w:val="0"/>
      <w:marBottom w:val="0"/>
      <w:divBdr>
        <w:top w:val="none" w:sz="0" w:space="0" w:color="auto"/>
        <w:left w:val="none" w:sz="0" w:space="0" w:color="auto"/>
        <w:bottom w:val="none" w:sz="0" w:space="0" w:color="auto"/>
        <w:right w:val="none" w:sz="0" w:space="0" w:color="auto"/>
      </w:divBdr>
    </w:div>
    <w:div w:id="999886718">
      <w:bodyDiv w:val="1"/>
      <w:marLeft w:val="0"/>
      <w:marRight w:val="0"/>
      <w:marTop w:val="0"/>
      <w:marBottom w:val="0"/>
      <w:divBdr>
        <w:top w:val="none" w:sz="0" w:space="0" w:color="auto"/>
        <w:left w:val="none" w:sz="0" w:space="0" w:color="auto"/>
        <w:bottom w:val="none" w:sz="0" w:space="0" w:color="auto"/>
        <w:right w:val="none" w:sz="0" w:space="0" w:color="auto"/>
      </w:divBdr>
    </w:div>
    <w:div w:id="1028528531">
      <w:bodyDiv w:val="1"/>
      <w:marLeft w:val="0"/>
      <w:marRight w:val="0"/>
      <w:marTop w:val="0"/>
      <w:marBottom w:val="0"/>
      <w:divBdr>
        <w:top w:val="none" w:sz="0" w:space="0" w:color="auto"/>
        <w:left w:val="none" w:sz="0" w:space="0" w:color="auto"/>
        <w:bottom w:val="none" w:sz="0" w:space="0" w:color="auto"/>
        <w:right w:val="none" w:sz="0" w:space="0" w:color="auto"/>
      </w:divBdr>
    </w:div>
    <w:div w:id="1033577244">
      <w:bodyDiv w:val="1"/>
      <w:marLeft w:val="0"/>
      <w:marRight w:val="0"/>
      <w:marTop w:val="0"/>
      <w:marBottom w:val="0"/>
      <w:divBdr>
        <w:top w:val="none" w:sz="0" w:space="0" w:color="auto"/>
        <w:left w:val="none" w:sz="0" w:space="0" w:color="auto"/>
        <w:bottom w:val="none" w:sz="0" w:space="0" w:color="auto"/>
        <w:right w:val="none" w:sz="0" w:space="0" w:color="auto"/>
      </w:divBdr>
    </w:div>
    <w:div w:id="1038237854">
      <w:bodyDiv w:val="1"/>
      <w:marLeft w:val="0"/>
      <w:marRight w:val="0"/>
      <w:marTop w:val="0"/>
      <w:marBottom w:val="0"/>
      <w:divBdr>
        <w:top w:val="none" w:sz="0" w:space="0" w:color="auto"/>
        <w:left w:val="none" w:sz="0" w:space="0" w:color="auto"/>
        <w:bottom w:val="none" w:sz="0" w:space="0" w:color="auto"/>
        <w:right w:val="none" w:sz="0" w:space="0" w:color="auto"/>
      </w:divBdr>
    </w:div>
    <w:div w:id="1044255924">
      <w:bodyDiv w:val="1"/>
      <w:marLeft w:val="0"/>
      <w:marRight w:val="0"/>
      <w:marTop w:val="0"/>
      <w:marBottom w:val="0"/>
      <w:divBdr>
        <w:top w:val="none" w:sz="0" w:space="0" w:color="auto"/>
        <w:left w:val="none" w:sz="0" w:space="0" w:color="auto"/>
        <w:bottom w:val="none" w:sz="0" w:space="0" w:color="auto"/>
        <w:right w:val="none" w:sz="0" w:space="0" w:color="auto"/>
      </w:divBdr>
    </w:div>
    <w:div w:id="1054504327">
      <w:bodyDiv w:val="1"/>
      <w:marLeft w:val="0"/>
      <w:marRight w:val="0"/>
      <w:marTop w:val="0"/>
      <w:marBottom w:val="0"/>
      <w:divBdr>
        <w:top w:val="none" w:sz="0" w:space="0" w:color="auto"/>
        <w:left w:val="none" w:sz="0" w:space="0" w:color="auto"/>
        <w:bottom w:val="none" w:sz="0" w:space="0" w:color="auto"/>
        <w:right w:val="none" w:sz="0" w:space="0" w:color="auto"/>
      </w:divBdr>
    </w:div>
    <w:div w:id="1077285732">
      <w:bodyDiv w:val="1"/>
      <w:marLeft w:val="0"/>
      <w:marRight w:val="0"/>
      <w:marTop w:val="0"/>
      <w:marBottom w:val="0"/>
      <w:divBdr>
        <w:top w:val="none" w:sz="0" w:space="0" w:color="auto"/>
        <w:left w:val="none" w:sz="0" w:space="0" w:color="auto"/>
        <w:bottom w:val="none" w:sz="0" w:space="0" w:color="auto"/>
        <w:right w:val="none" w:sz="0" w:space="0" w:color="auto"/>
      </w:divBdr>
    </w:div>
    <w:div w:id="1099914386">
      <w:bodyDiv w:val="1"/>
      <w:marLeft w:val="0"/>
      <w:marRight w:val="0"/>
      <w:marTop w:val="0"/>
      <w:marBottom w:val="0"/>
      <w:divBdr>
        <w:top w:val="none" w:sz="0" w:space="0" w:color="auto"/>
        <w:left w:val="none" w:sz="0" w:space="0" w:color="auto"/>
        <w:bottom w:val="none" w:sz="0" w:space="0" w:color="auto"/>
        <w:right w:val="none" w:sz="0" w:space="0" w:color="auto"/>
      </w:divBdr>
    </w:div>
    <w:div w:id="1126195249">
      <w:bodyDiv w:val="1"/>
      <w:marLeft w:val="0"/>
      <w:marRight w:val="0"/>
      <w:marTop w:val="0"/>
      <w:marBottom w:val="0"/>
      <w:divBdr>
        <w:top w:val="none" w:sz="0" w:space="0" w:color="auto"/>
        <w:left w:val="none" w:sz="0" w:space="0" w:color="auto"/>
        <w:bottom w:val="none" w:sz="0" w:space="0" w:color="auto"/>
        <w:right w:val="none" w:sz="0" w:space="0" w:color="auto"/>
      </w:divBdr>
    </w:div>
    <w:div w:id="1147698773">
      <w:bodyDiv w:val="1"/>
      <w:marLeft w:val="0"/>
      <w:marRight w:val="0"/>
      <w:marTop w:val="0"/>
      <w:marBottom w:val="0"/>
      <w:divBdr>
        <w:top w:val="none" w:sz="0" w:space="0" w:color="auto"/>
        <w:left w:val="none" w:sz="0" w:space="0" w:color="auto"/>
        <w:bottom w:val="none" w:sz="0" w:space="0" w:color="auto"/>
        <w:right w:val="none" w:sz="0" w:space="0" w:color="auto"/>
      </w:divBdr>
    </w:div>
    <w:div w:id="1156654620">
      <w:bodyDiv w:val="1"/>
      <w:marLeft w:val="0"/>
      <w:marRight w:val="0"/>
      <w:marTop w:val="0"/>
      <w:marBottom w:val="0"/>
      <w:divBdr>
        <w:top w:val="none" w:sz="0" w:space="0" w:color="auto"/>
        <w:left w:val="none" w:sz="0" w:space="0" w:color="auto"/>
        <w:bottom w:val="none" w:sz="0" w:space="0" w:color="auto"/>
        <w:right w:val="none" w:sz="0" w:space="0" w:color="auto"/>
      </w:divBdr>
    </w:div>
    <w:div w:id="1157183439">
      <w:bodyDiv w:val="1"/>
      <w:marLeft w:val="0"/>
      <w:marRight w:val="0"/>
      <w:marTop w:val="0"/>
      <w:marBottom w:val="0"/>
      <w:divBdr>
        <w:top w:val="none" w:sz="0" w:space="0" w:color="auto"/>
        <w:left w:val="none" w:sz="0" w:space="0" w:color="auto"/>
        <w:bottom w:val="none" w:sz="0" w:space="0" w:color="auto"/>
        <w:right w:val="none" w:sz="0" w:space="0" w:color="auto"/>
      </w:divBdr>
    </w:div>
    <w:div w:id="1162811595">
      <w:bodyDiv w:val="1"/>
      <w:marLeft w:val="0"/>
      <w:marRight w:val="0"/>
      <w:marTop w:val="0"/>
      <w:marBottom w:val="0"/>
      <w:divBdr>
        <w:top w:val="none" w:sz="0" w:space="0" w:color="auto"/>
        <w:left w:val="none" w:sz="0" w:space="0" w:color="auto"/>
        <w:bottom w:val="none" w:sz="0" w:space="0" w:color="auto"/>
        <w:right w:val="none" w:sz="0" w:space="0" w:color="auto"/>
      </w:divBdr>
    </w:div>
    <w:div w:id="1164397669">
      <w:bodyDiv w:val="1"/>
      <w:marLeft w:val="0"/>
      <w:marRight w:val="0"/>
      <w:marTop w:val="0"/>
      <w:marBottom w:val="0"/>
      <w:divBdr>
        <w:top w:val="none" w:sz="0" w:space="0" w:color="auto"/>
        <w:left w:val="none" w:sz="0" w:space="0" w:color="auto"/>
        <w:bottom w:val="none" w:sz="0" w:space="0" w:color="auto"/>
        <w:right w:val="none" w:sz="0" w:space="0" w:color="auto"/>
      </w:divBdr>
    </w:div>
    <w:div w:id="1180243678">
      <w:bodyDiv w:val="1"/>
      <w:marLeft w:val="0"/>
      <w:marRight w:val="0"/>
      <w:marTop w:val="0"/>
      <w:marBottom w:val="0"/>
      <w:divBdr>
        <w:top w:val="none" w:sz="0" w:space="0" w:color="auto"/>
        <w:left w:val="none" w:sz="0" w:space="0" w:color="auto"/>
        <w:bottom w:val="none" w:sz="0" w:space="0" w:color="auto"/>
        <w:right w:val="none" w:sz="0" w:space="0" w:color="auto"/>
      </w:divBdr>
    </w:div>
    <w:div w:id="1212811664">
      <w:bodyDiv w:val="1"/>
      <w:marLeft w:val="0"/>
      <w:marRight w:val="0"/>
      <w:marTop w:val="0"/>
      <w:marBottom w:val="0"/>
      <w:divBdr>
        <w:top w:val="none" w:sz="0" w:space="0" w:color="auto"/>
        <w:left w:val="none" w:sz="0" w:space="0" w:color="auto"/>
        <w:bottom w:val="none" w:sz="0" w:space="0" w:color="auto"/>
        <w:right w:val="none" w:sz="0" w:space="0" w:color="auto"/>
      </w:divBdr>
    </w:div>
    <w:div w:id="1215852221">
      <w:bodyDiv w:val="1"/>
      <w:marLeft w:val="0"/>
      <w:marRight w:val="0"/>
      <w:marTop w:val="0"/>
      <w:marBottom w:val="0"/>
      <w:divBdr>
        <w:top w:val="none" w:sz="0" w:space="0" w:color="auto"/>
        <w:left w:val="none" w:sz="0" w:space="0" w:color="auto"/>
        <w:bottom w:val="none" w:sz="0" w:space="0" w:color="auto"/>
        <w:right w:val="none" w:sz="0" w:space="0" w:color="auto"/>
      </w:divBdr>
    </w:div>
    <w:div w:id="1218011723">
      <w:bodyDiv w:val="1"/>
      <w:marLeft w:val="0"/>
      <w:marRight w:val="0"/>
      <w:marTop w:val="0"/>
      <w:marBottom w:val="0"/>
      <w:divBdr>
        <w:top w:val="none" w:sz="0" w:space="0" w:color="auto"/>
        <w:left w:val="none" w:sz="0" w:space="0" w:color="auto"/>
        <w:bottom w:val="none" w:sz="0" w:space="0" w:color="auto"/>
        <w:right w:val="none" w:sz="0" w:space="0" w:color="auto"/>
      </w:divBdr>
    </w:div>
    <w:div w:id="1238595680">
      <w:bodyDiv w:val="1"/>
      <w:marLeft w:val="0"/>
      <w:marRight w:val="0"/>
      <w:marTop w:val="0"/>
      <w:marBottom w:val="0"/>
      <w:divBdr>
        <w:top w:val="none" w:sz="0" w:space="0" w:color="auto"/>
        <w:left w:val="none" w:sz="0" w:space="0" w:color="auto"/>
        <w:bottom w:val="none" w:sz="0" w:space="0" w:color="auto"/>
        <w:right w:val="none" w:sz="0" w:space="0" w:color="auto"/>
      </w:divBdr>
    </w:div>
    <w:div w:id="1251893766">
      <w:bodyDiv w:val="1"/>
      <w:marLeft w:val="0"/>
      <w:marRight w:val="0"/>
      <w:marTop w:val="0"/>
      <w:marBottom w:val="0"/>
      <w:divBdr>
        <w:top w:val="none" w:sz="0" w:space="0" w:color="auto"/>
        <w:left w:val="none" w:sz="0" w:space="0" w:color="auto"/>
        <w:bottom w:val="none" w:sz="0" w:space="0" w:color="auto"/>
        <w:right w:val="none" w:sz="0" w:space="0" w:color="auto"/>
      </w:divBdr>
    </w:div>
    <w:div w:id="1252085124">
      <w:bodyDiv w:val="1"/>
      <w:marLeft w:val="0"/>
      <w:marRight w:val="0"/>
      <w:marTop w:val="0"/>
      <w:marBottom w:val="0"/>
      <w:divBdr>
        <w:top w:val="none" w:sz="0" w:space="0" w:color="auto"/>
        <w:left w:val="none" w:sz="0" w:space="0" w:color="auto"/>
        <w:bottom w:val="none" w:sz="0" w:space="0" w:color="auto"/>
        <w:right w:val="none" w:sz="0" w:space="0" w:color="auto"/>
      </w:divBdr>
    </w:div>
    <w:div w:id="1281523529">
      <w:bodyDiv w:val="1"/>
      <w:marLeft w:val="0"/>
      <w:marRight w:val="0"/>
      <w:marTop w:val="0"/>
      <w:marBottom w:val="0"/>
      <w:divBdr>
        <w:top w:val="none" w:sz="0" w:space="0" w:color="auto"/>
        <w:left w:val="none" w:sz="0" w:space="0" w:color="auto"/>
        <w:bottom w:val="none" w:sz="0" w:space="0" w:color="auto"/>
        <w:right w:val="none" w:sz="0" w:space="0" w:color="auto"/>
      </w:divBdr>
    </w:div>
    <w:div w:id="1302268591">
      <w:bodyDiv w:val="1"/>
      <w:marLeft w:val="0"/>
      <w:marRight w:val="0"/>
      <w:marTop w:val="0"/>
      <w:marBottom w:val="0"/>
      <w:divBdr>
        <w:top w:val="none" w:sz="0" w:space="0" w:color="auto"/>
        <w:left w:val="none" w:sz="0" w:space="0" w:color="auto"/>
        <w:bottom w:val="none" w:sz="0" w:space="0" w:color="auto"/>
        <w:right w:val="none" w:sz="0" w:space="0" w:color="auto"/>
      </w:divBdr>
    </w:div>
    <w:div w:id="1304584130">
      <w:bodyDiv w:val="1"/>
      <w:marLeft w:val="0"/>
      <w:marRight w:val="0"/>
      <w:marTop w:val="0"/>
      <w:marBottom w:val="0"/>
      <w:divBdr>
        <w:top w:val="none" w:sz="0" w:space="0" w:color="auto"/>
        <w:left w:val="none" w:sz="0" w:space="0" w:color="auto"/>
        <w:bottom w:val="none" w:sz="0" w:space="0" w:color="auto"/>
        <w:right w:val="none" w:sz="0" w:space="0" w:color="auto"/>
      </w:divBdr>
    </w:div>
    <w:div w:id="1321230424">
      <w:bodyDiv w:val="1"/>
      <w:marLeft w:val="0"/>
      <w:marRight w:val="0"/>
      <w:marTop w:val="0"/>
      <w:marBottom w:val="0"/>
      <w:divBdr>
        <w:top w:val="none" w:sz="0" w:space="0" w:color="auto"/>
        <w:left w:val="none" w:sz="0" w:space="0" w:color="auto"/>
        <w:bottom w:val="none" w:sz="0" w:space="0" w:color="auto"/>
        <w:right w:val="none" w:sz="0" w:space="0" w:color="auto"/>
      </w:divBdr>
    </w:div>
    <w:div w:id="1335641938">
      <w:bodyDiv w:val="1"/>
      <w:marLeft w:val="0"/>
      <w:marRight w:val="0"/>
      <w:marTop w:val="0"/>
      <w:marBottom w:val="0"/>
      <w:divBdr>
        <w:top w:val="none" w:sz="0" w:space="0" w:color="auto"/>
        <w:left w:val="none" w:sz="0" w:space="0" w:color="auto"/>
        <w:bottom w:val="none" w:sz="0" w:space="0" w:color="auto"/>
        <w:right w:val="none" w:sz="0" w:space="0" w:color="auto"/>
      </w:divBdr>
    </w:div>
    <w:div w:id="1347443569">
      <w:bodyDiv w:val="1"/>
      <w:marLeft w:val="0"/>
      <w:marRight w:val="0"/>
      <w:marTop w:val="0"/>
      <w:marBottom w:val="0"/>
      <w:divBdr>
        <w:top w:val="none" w:sz="0" w:space="0" w:color="auto"/>
        <w:left w:val="none" w:sz="0" w:space="0" w:color="auto"/>
        <w:bottom w:val="none" w:sz="0" w:space="0" w:color="auto"/>
        <w:right w:val="none" w:sz="0" w:space="0" w:color="auto"/>
      </w:divBdr>
    </w:div>
    <w:div w:id="1361475641">
      <w:bodyDiv w:val="1"/>
      <w:marLeft w:val="0"/>
      <w:marRight w:val="0"/>
      <w:marTop w:val="0"/>
      <w:marBottom w:val="0"/>
      <w:divBdr>
        <w:top w:val="none" w:sz="0" w:space="0" w:color="auto"/>
        <w:left w:val="none" w:sz="0" w:space="0" w:color="auto"/>
        <w:bottom w:val="none" w:sz="0" w:space="0" w:color="auto"/>
        <w:right w:val="none" w:sz="0" w:space="0" w:color="auto"/>
      </w:divBdr>
    </w:div>
    <w:div w:id="1362242204">
      <w:bodyDiv w:val="1"/>
      <w:marLeft w:val="0"/>
      <w:marRight w:val="0"/>
      <w:marTop w:val="0"/>
      <w:marBottom w:val="0"/>
      <w:divBdr>
        <w:top w:val="none" w:sz="0" w:space="0" w:color="auto"/>
        <w:left w:val="none" w:sz="0" w:space="0" w:color="auto"/>
        <w:bottom w:val="none" w:sz="0" w:space="0" w:color="auto"/>
        <w:right w:val="none" w:sz="0" w:space="0" w:color="auto"/>
      </w:divBdr>
    </w:div>
    <w:div w:id="1392729999">
      <w:bodyDiv w:val="1"/>
      <w:marLeft w:val="0"/>
      <w:marRight w:val="0"/>
      <w:marTop w:val="0"/>
      <w:marBottom w:val="0"/>
      <w:divBdr>
        <w:top w:val="none" w:sz="0" w:space="0" w:color="auto"/>
        <w:left w:val="none" w:sz="0" w:space="0" w:color="auto"/>
        <w:bottom w:val="none" w:sz="0" w:space="0" w:color="auto"/>
        <w:right w:val="none" w:sz="0" w:space="0" w:color="auto"/>
      </w:divBdr>
    </w:div>
    <w:div w:id="1415856771">
      <w:bodyDiv w:val="1"/>
      <w:marLeft w:val="0"/>
      <w:marRight w:val="0"/>
      <w:marTop w:val="0"/>
      <w:marBottom w:val="0"/>
      <w:divBdr>
        <w:top w:val="none" w:sz="0" w:space="0" w:color="auto"/>
        <w:left w:val="none" w:sz="0" w:space="0" w:color="auto"/>
        <w:bottom w:val="none" w:sz="0" w:space="0" w:color="auto"/>
        <w:right w:val="none" w:sz="0" w:space="0" w:color="auto"/>
      </w:divBdr>
    </w:div>
    <w:div w:id="1456946031">
      <w:bodyDiv w:val="1"/>
      <w:marLeft w:val="0"/>
      <w:marRight w:val="0"/>
      <w:marTop w:val="0"/>
      <w:marBottom w:val="0"/>
      <w:divBdr>
        <w:top w:val="none" w:sz="0" w:space="0" w:color="auto"/>
        <w:left w:val="none" w:sz="0" w:space="0" w:color="auto"/>
        <w:bottom w:val="none" w:sz="0" w:space="0" w:color="auto"/>
        <w:right w:val="none" w:sz="0" w:space="0" w:color="auto"/>
      </w:divBdr>
    </w:div>
    <w:div w:id="1460418909">
      <w:bodyDiv w:val="1"/>
      <w:marLeft w:val="0"/>
      <w:marRight w:val="0"/>
      <w:marTop w:val="0"/>
      <w:marBottom w:val="0"/>
      <w:divBdr>
        <w:top w:val="none" w:sz="0" w:space="0" w:color="auto"/>
        <w:left w:val="none" w:sz="0" w:space="0" w:color="auto"/>
        <w:bottom w:val="none" w:sz="0" w:space="0" w:color="auto"/>
        <w:right w:val="none" w:sz="0" w:space="0" w:color="auto"/>
      </w:divBdr>
    </w:div>
    <w:div w:id="1482040289">
      <w:bodyDiv w:val="1"/>
      <w:marLeft w:val="0"/>
      <w:marRight w:val="0"/>
      <w:marTop w:val="0"/>
      <w:marBottom w:val="0"/>
      <w:divBdr>
        <w:top w:val="none" w:sz="0" w:space="0" w:color="auto"/>
        <w:left w:val="none" w:sz="0" w:space="0" w:color="auto"/>
        <w:bottom w:val="none" w:sz="0" w:space="0" w:color="auto"/>
        <w:right w:val="none" w:sz="0" w:space="0" w:color="auto"/>
      </w:divBdr>
    </w:div>
    <w:div w:id="1504590373">
      <w:bodyDiv w:val="1"/>
      <w:marLeft w:val="0"/>
      <w:marRight w:val="0"/>
      <w:marTop w:val="0"/>
      <w:marBottom w:val="0"/>
      <w:divBdr>
        <w:top w:val="none" w:sz="0" w:space="0" w:color="auto"/>
        <w:left w:val="none" w:sz="0" w:space="0" w:color="auto"/>
        <w:bottom w:val="none" w:sz="0" w:space="0" w:color="auto"/>
        <w:right w:val="none" w:sz="0" w:space="0" w:color="auto"/>
      </w:divBdr>
    </w:div>
    <w:div w:id="1506478849">
      <w:bodyDiv w:val="1"/>
      <w:marLeft w:val="0"/>
      <w:marRight w:val="0"/>
      <w:marTop w:val="0"/>
      <w:marBottom w:val="0"/>
      <w:divBdr>
        <w:top w:val="none" w:sz="0" w:space="0" w:color="auto"/>
        <w:left w:val="none" w:sz="0" w:space="0" w:color="auto"/>
        <w:bottom w:val="none" w:sz="0" w:space="0" w:color="auto"/>
        <w:right w:val="none" w:sz="0" w:space="0" w:color="auto"/>
      </w:divBdr>
    </w:div>
    <w:div w:id="1532186165">
      <w:bodyDiv w:val="1"/>
      <w:marLeft w:val="0"/>
      <w:marRight w:val="0"/>
      <w:marTop w:val="0"/>
      <w:marBottom w:val="0"/>
      <w:divBdr>
        <w:top w:val="none" w:sz="0" w:space="0" w:color="auto"/>
        <w:left w:val="none" w:sz="0" w:space="0" w:color="auto"/>
        <w:bottom w:val="none" w:sz="0" w:space="0" w:color="auto"/>
        <w:right w:val="none" w:sz="0" w:space="0" w:color="auto"/>
      </w:divBdr>
    </w:div>
    <w:div w:id="1571622842">
      <w:bodyDiv w:val="1"/>
      <w:marLeft w:val="0"/>
      <w:marRight w:val="0"/>
      <w:marTop w:val="0"/>
      <w:marBottom w:val="0"/>
      <w:divBdr>
        <w:top w:val="none" w:sz="0" w:space="0" w:color="auto"/>
        <w:left w:val="none" w:sz="0" w:space="0" w:color="auto"/>
        <w:bottom w:val="none" w:sz="0" w:space="0" w:color="auto"/>
        <w:right w:val="none" w:sz="0" w:space="0" w:color="auto"/>
      </w:divBdr>
    </w:div>
    <w:div w:id="1574008527">
      <w:bodyDiv w:val="1"/>
      <w:marLeft w:val="0"/>
      <w:marRight w:val="0"/>
      <w:marTop w:val="0"/>
      <w:marBottom w:val="0"/>
      <w:divBdr>
        <w:top w:val="none" w:sz="0" w:space="0" w:color="auto"/>
        <w:left w:val="none" w:sz="0" w:space="0" w:color="auto"/>
        <w:bottom w:val="none" w:sz="0" w:space="0" w:color="auto"/>
        <w:right w:val="none" w:sz="0" w:space="0" w:color="auto"/>
      </w:divBdr>
    </w:div>
    <w:div w:id="1584874017">
      <w:bodyDiv w:val="1"/>
      <w:marLeft w:val="0"/>
      <w:marRight w:val="0"/>
      <w:marTop w:val="0"/>
      <w:marBottom w:val="0"/>
      <w:divBdr>
        <w:top w:val="none" w:sz="0" w:space="0" w:color="auto"/>
        <w:left w:val="none" w:sz="0" w:space="0" w:color="auto"/>
        <w:bottom w:val="none" w:sz="0" w:space="0" w:color="auto"/>
        <w:right w:val="none" w:sz="0" w:space="0" w:color="auto"/>
      </w:divBdr>
    </w:div>
    <w:div w:id="1586836186">
      <w:bodyDiv w:val="1"/>
      <w:marLeft w:val="0"/>
      <w:marRight w:val="0"/>
      <w:marTop w:val="0"/>
      <w:marBottom w:val="0"/>
      <w:divBdr>
        <w:top w:val="none" w:sz="0" w:space="0" w:color="auto"/>
        <w:left w:val="none" w:sz="0" w:space="0" w:color="auto"/>
        <w:bottom w:val="none" w:sz="0" w:space="0" w:color="auto"/>
        <w:right w:val="none" w:sz="0" w:space="0" w:color="auto"/>
      </w:divBdr>
    </w:div>
    <w:div w:id="1588267982">
      <w:bodyDiv w:val="1"/>
      <w:marLeft w:val="0"/>
      <w:marRight w:val="0"/>
      <w:marTop w:val="0"/>
      <w:marBottom w:val="0"/>
      <w:divBdr>
        <w:top w:val="none" w:sz="0" w:space="0" w:color="auto"/>
        <w:left w:val="none" w:sz="0" w:space="0" w:color="auto"/>
        <w:bottom w:val="none" w:sz="0" w:space="0" w:color="auto"/>
        <w:right w:val="none" w:sz="0" w:space="0" w:color="auto"/>
      </w:divBdr>
    </w:div>
    <w:div w:id="1597131143">
      <w:bodyDiv w:val="1"/>
      <w:marLeft w:val="0"/>
      <w:marRight w:val="0"/>
      <w:marTop w:val="0"/>
      <w:marBottom w:val="0"/>
      <w:divBdr>
        <w:top w:val="none" w:sz="0" w:space="0" w:color="auto"/>
        <w:left w:val="none" w:sz="0" w:space="0" w:color="auto"/>
        <w:bottom w:val="none" w:sz="0" w:space="0" w:color="auto"/>
        <w:right w:val="none" w:sz="0" w:space="0" w:color="auto"/>
      </w:divBdr>
    </w:div>
    <w:div w:id="1628318643">
      <w:bodyDiv w:val="1"/>
      <w:marLeft w:val="0"/>
      <w:marRight w:val="0"/>
      <w:marTop w:val="0"/>
      <w:marBottom w:val="0"/>
      <w:divBdr>
        <w:top w:val="none" w:sz="0" w:space="0" w:color="auto"/>
        <w:left w:val="none" w:sz="0" w:space="0" w:color="auto"/>
        <w:bottom w:val="none" w:sz="0" w:space="0" w:color="auto"/>
        <w:right w:val="none" w:sz="0" w:space="0" w:color="auto"/>
      </w:divBdr>
    </w:div>
    <w:div w:id="1629166648">
      <w:bodyDiv w:val="1"/>
      <w:marLeft w:val="0"/>
      <w:marRight w:val="0"/>
      <w:marTop w:val="0"/>
      <w:marBottom w:val="0"/>
      <w:divBdr>
        <w:top w:val="none" w:sz="0" w:space="0" w:color="auto"/>
        <w:left w:val="none" w:sz="0" w:space="0" w:color="auto"/>
        <w:bottom w:val="none" w:sz="0" w:space="0" w:color="auto"/>
        <w:right w:val="none" w:sz="0" w:space="0" w:color="auto"/>
      </w:divBdr>
    </w:div>
    <w:div w:id="1630621517">
      <w:bodyDiv w:val="1"/>
      <w:marLeft w:val="0"/>
      <w:marRight w:val="0"/>
      <w:marTop w:val="0"/>
      <w:marBottom w:val="0"/>
      <w:divBdr>
        <w:top w:val="none" w:sz="0" w:space="0" w:color="auto"/>
        <w:left w:val="none" w:sz="0" w:space="0" w:color="auto"/>
        <w:bottom w:val="none" w:sz="0" w:space="0" w:color="auto"/>
        <w:right w:val="none" w:sz="0" w:space="0" w:color="auto"/>
      </w:divBdr>
    </w:div>
    <w:div w:id="1635453031">
      <w:bodyDiv w:val="1"/>
      <w:marLeft w:val="0"/>
      <w:marRight w:val="0"/>
      <w:marTop w:val="0"/>
      <w:marBottom w:val="0"/>
      <w:divBdr>
        <w:top w:val="none" w:sz="0" w:space="0" w:color="auto"/>
        <w:left w:val="none" w:sz="0" w:space="0" w:color="auto"/>
        <w:bottom w:val="none" w:sz="0" w:space="0" w:color="auto"/>
        <w:right w:val="none" w:sz="0" w:space="0" w:color="auto"/>
      </w:divBdr>
    </w:div>
    <w:div w:id="1657109463">
      <w:bodyDiv w:val="1"/>
      <w:marLeft w:val="0"/>
      <w:marRight w:val="0"/>
      <w:marTop w:val="0"/>
      <w:marBottom w:val="0"/>
      <w:divBdr>
        <w:top w:val="none" w:sz="0" w:space="0" w:color="auto"/>
        <w:left w:val="none" w:sz="0" w:space="0" w:color="auto"/>
        <w:bottom w:val="none" w:sz="0" w:space="0" w:color="auto"/>
        <w:right w:val="none" w:sz="0" w:space="0" w:color="auto"/>
      </w:divBdr>
    </w:div>
    <w:div w:id="1658991827">
      <w:bodyDiv w:val="1"/>
      <w:marLeft w:val="0"/>
      <w:marRight w:val="0"/>
      <w:marTop w:val="0"/>
      <w:marBottom w:val="0"/>
      <w:divBdr>
        <w:top w:val="none" w:sz="0" w:space="0" w:color="auto"/>
        <w:left w:val="none" w:sz="0" w:space="0" w:color="auto"/>
        <w:bottom w:val="none" w:sz="0" w:space="0" w:color="auto"/>
        <w:right w:val="none" w:sz="0" w:space="0" w:color="auto"/>
      </w:divBdr>
    </w:div>
    <w:div w:id="1672027717">
      <w:bodyDiv w:val="1"/>
      <w:marLeft w:val="0"/>
      <w:marRight w:val="0"/>
      <w:marTop w:val="0"/>
      <w:marBottom w:val="0"/>
      <w:divBdr>
        <w:top w:val="none" w:sz="0" w:space="0" w:color="auto"/>
        <w:left w:val="none" w:sz="0" w:space="0" w:color="auto"/>
        <w:bottom w:val="none" w:sz="0" w:space="0" w:color="auto"/>
        <w:right w:val="none" w:sz="0" w:space="0" w:color="auto"/>
      </w:divBdr>
    </w:div>
    <w:div w:id="1689136990">
      <w:bodyDiv w:val="1"/>
      <w:marLeft w:val="0"/>
      <w:marRight w:val="0"/>
      <w:marTop w:val="0"/>
      <w:marBottom w:val="0"/>
      <w:divBdr>
        <w:top w:val="none" w:sz="0" w:space="0" w:color="auto"/>
        <w:left w:val="none" w:sz="0" w:space="0" w:color="auto"/>
        <w:bottom w:val="none" w:sz="0" w:space="0" w:color="auto"/>
        <w:right w:val="none" w:sz="0" w:space="0" w:color="auto"/>
      </w:divBdr>
    </w:div>
    <w:div w:id="1692101916">
      <w:bodyDiv w:val="1"/>
      <w:marLeft w:val="0"/>
      <w:marRight w:val="0"/>
      <w:marTop w:val="0"/>
      <w:marBottom w:val="0"/>
      <w:divBdr>
        <w:top w:val="none" w:sz="0" w:space="0" w:color="auto"/>
        <w:left w:val="none" w:sz="0" w:space="0" w:color="auto"/>
        <w:bottom w:val="none" w:sz="0" w:space="0" w:color="auto"/>
        <w:right w:val="none" w:sz="0" w:space="0" w:color="auto"/>
      </w:divBdr>
    </w:div>
    <w:div w:id="1692491453">
      <w:bodyDiv w:val="1"/>
      <w:marLeft w:val="0"/>
      <w:marRight w:val="0"/>
      <w:marTop w:val="0"/>
      <w:marBottom w:val="0"/>
      <w:divBdr>
        <w:top w:val="none" w:sz="0" w:space="0" w:color="auto"/>
        <w:left w:val="none" w:sz="0" w:space="0" w:color="auto"/>
        <w:bottom w:val="none" w:sz="0" w:space="0" w:color="auto"/>
        <w:right w:val="none" w:sz="0" w:space="0" w:color="auto"/>
      </w:divBdr>
    </w:div>
    <w:div w:id="1694842517">
      <w:bodyDiv w:val="1"/>
      <w:marLeft w:val="0"/>
      <w:marRight w:val="0"/>
      <w:marTop w:val="0"/>
      <w:marBottom w:val="0"/>
      <w:divBdr>
        <w:top w:val="none" w:sz="0" w:space="0" w:color="auto"/>
        <w:left w:val="none" w:sz="0" w:space="0" w:color="auto"/>
        <w:bottom w:val="none" w:sz="0" w:space="0" w:color="auto"/>
        <w:right w:val="none" w:sz="0" w:space="0" w:color="auto"/>
      </w:divBdr>
    </w:div>
    <w:div w:id="1713731120">
      <w:bodyDiv w:val="1"/>
      <w:marLeft w:val="0"/>
      <w:marRight w:val="0"/>
      <w:marTop w:val="0"/>
      <w:marBottom w:val="0"/>
      <w:divBdr>
        <w:top w:val="none" w:sz="0" w:space="0" w:color="auto"/>
        <w:left w:val="none" w:sz="0" w:space="0" w:color="auto"/>
        <w:bottom w:val="none" w:sz="0" w:space="0" w:color="auto"/>
        <w:right w:val="none" w:sz="0" w:space="0" w:color="auto"/>
      </w:divBdr>
    </w:div>
    <w:div w:id="1724401093">
      <w:bodyDiv w:val="1"/>
      <w:marLeft w:val="0"/>
      <w:marRight w:val="0"/>
      <w:marTop w:val="0"/>
      <w:marBottom w:val="0"/>
      <w:divBdr>
        <w:top w:val="none" w:sz="0" w:space="0" w:color="auto"/>
        <w:left w:val="none" w:sz="0" w:space="0" w:color="auto"/>
        <w:bottom w:val="none" w:sz="0" w:space="0" w:color="auto"/>
        <w:right w:val="none" w:sz="0" w:space="0" w:color="auto"/>
      </w:divBdr>
    </w:div>
    <w:div w:id="1730495864">
      <w:bodyDiv w:val="1"/>
      <w:marLeft w:val="0"/>
      <w:marRight w:val="0"/>
      <w:marTop w:val="0"/>
      <w:marBottom w:val="0"/>
      <w:divBdr>
        <w:top w:val="none" w:sz="0" w:space="0" w:color="auto"/>
        <w:left w:val="none" w:sz="0" w:space="0" w:color="auto"/>
        <w:bottom w:val="none" w:sz="0" w:space="0" w:color="auto"/>
        <w:right w:val="none" w:sz="0" w:space="0" w:color="auto"/>
      </w:divBdr>
    </w:div>
    <w:div w:id="1740901823">
      <w:bodyDiv w:val="1"/>
      <w:marLeft w:val="0"/>
      <w:marRight w:val="0"/>
      <w:marTop w:val="0"/>
      <w:marBottom w:val="0"/>
      <w:divBdr>
        <w:top w:val="none" w:sz="0" w:space="0" w:color="auto"/>
        <w:left w:val="none" w:sz="0" w:space="0" w:color="auto"/>
        <w:bottom w:val="none" w:sz="0" w:space="0" w:color="auto"/>
        <w:right w:val="none" w:sz="0" w:space="0" w:color="auto"/>
      </w:divBdr>
    </w:div>
    <w:div w:id="1744182189">
      <w:bodyDiv w:val="1"/>
      <w:marLeft w:val="0"/>
      <w:marRight w:val="0"/>
      <w:marTop w:val="0"/>
      <w:marBottom w:val="0"/>
      <w:divBdr>
        <w:top w:val="none" w:sz="0" w:space="0" w:color="auto"/>
        <w:left w:val="none" w:sz="0" w:space="0" w:color="auto"/>
        <w:bottom w:val="none" w:sz="0" w:space="0" w:color="auto"/>
        <w:right w:val="none" w:sz="0" w:space="0" w:color="auto"/>
      </w:divBdr>
    </w:div>
    <w:div w:id="1761947276">
      <w:bodyDiv w:val="1"/>
      <w:marLeft w:val="0"/>
      <w:marRight w:val="0"/>
      <w:marTop w:val="0"/>
      <w:marBottom w:val="0"/>
      <w:divBdr>
        <w:top w:val="none" w:sz="0" w:space="0" w:color="auto"/>
        <w:left w:val="none" w:sz="0" w:space="0" w:color="auto"/>
        <w:bottom w:val="none" w:sz="0" w:space="0" w:color="auto"/>
        <w:right w:val="none" w:sz="0" w:space="0" w:color="auto"/>
      </w:divBdr>
    </w:div>
    <w:div w:id="1763182352">
      <w:bodyDiv w:val="1"/>
      <w:marLeft w:val="0"/>
      <w:marRight w:val="0"/>
      <w:marTop w:val="0"/>
      <w:marBottom w:val="0"/>
      <w:divBdr>
        <w:top w:val="none" w:sz="0" w:space="0" w:color="auto"/>
        <w:left w:val="none" w:sz="0" w:space="0" w:color="auto"/>
        <w:bottom w:val="none" w:sz="0" w:space="0" w:color="auto"/>
        <w:right w:val="none" w:sz="0" w:space="0" w:color="auto"/>
      </w:divBdr>
    </w:div>
    <w:div w:id="1765614413">
      <w:bodyDiv w:val="1"/>
      <w:marLeft w:val="0"/>
      <w:marRight w:val="0"/>
      <w:marTop w:val="0"/>
      <w:marBottom w:val="0"/>
      <w:divBdr>
        <w:top w:val="none" w:sz="0" w:space="0" w:color="auto"/>
        <w:left w:val="none" w:sz="0" w:space="0" w:color="auto"/>
        <w:bottom w:val="none" w:sz="0" w:space="0" w:color="auto"/>
        <w:right w:val="none" w:sz="0" w:space="0" w:color="auto"/>
      </w:divBdr>
    </w:div>
    <w:div w:id="1783914393">
      <w:bodyDiv w:val="1"/>
      <w:marLeft w:val="0"/>
      <w:marRight w:val="0"/>
      <w:marTop w:val="0"/>
      <w:marBottom w:val="0"/>
      <w:divBdr>
        <w:top w:val="none" w:sz="0" w:space="0" w:color="auto"/>
        <w:left w:val="none" w:sz="0" w:space="0" w:color="auto"/>
        <w:bottom w:val="none" w:sz="0" w:space="0" w:color="auto"/>
        <w:right w:val="none" w:sz="0" w:space="0" w:color="auto"/>
      </w:divBdr>
    </w:div>
    <w:div w:id="1793476452">
      <w:bodyDiv w:val="1"/>
      <w:marLeft w:val="0"/>
      <w:marRight w:val="0"/>
      <w:marTop w:val="0"/>
      <w:marBottom w:val="0"/>
      <w:divBdr>
        <w:top w:val="none" w:sz="0" w:space="0" w:color="auto"/>
        <w:left w:val="none" w:sz="0" w:space="0" w:color="auto"/>
        <w:bottom w:val="none" w:sz="0" w:space="0" w:color="auto"/>
        <w:right w:val="none" w:sz="0" w:space="0" w:color="auto"/>
      </w:divBdr>
    </w:div>
    <w:div w:id="1794404994">
      <w:bodyDiv w:val="1"/>
      <w:marLeft w:val="0"/>
      <w:marRight w:val="0"/>
      <w:marTop w:val="0"/>
      <w:marBottom w:val="0"/>
      <w:divBdr>
        <w:top w:val="none" w:sz="0" w:space="0" w:color="auto"/>
        <w:left w:val="none" w:sz="0" w:space="0" w:color="auto"/>
        <w:bottom w:val="none" w:sz="0" w:space="0" w:color="auto"/>
        <w:right w:val="none" w:sz="0" w:space="0" w:color="auto"/>
      </w:divBdr>
    </w:div>
    <w:div w:id="1808546503">
      <w:bodyDiv w:val="1"/>
      <w:marLeft w:val="0"/>
      <w:marRight w:val="0"/>
      <w:marTop w:val="0"/>
      <w:marBottom w:val="0"/>
      <w:divBdr>
        <w:top w:val="none" w:sz="0" w:space="0" w:color="auto"/>
        <w:left w:val="none" w:sz="0" w:space="0" w:color="auto"/>
        <w:bottom w:val="none" w:sz="0" w:space="0" w:color="auto"/>
        <w:right w:val="none" w:sz="0" w:space="0" w:color="auto"/>
      </w:divBdr>
    </w:div>
    <w:div w:id="1825579962">
      <w:bodyDiv w:val="1"/>
      <w:marLeft w:val="0"/>
      <w:marRight w:val="0"/>
      <w:marTop w:val="0"/>
      <w:marBottom w:val="0"/>
      <w:divBdr>
        <w:top w:val="none" w:sz="0" w:space="0" w:color="auto"/>
        <w:left w:val="none" w:sz="0" w:space="0" w:color="auto"/>
        <w:bottom w:val="none" w:sz="0" w:space="0" w:color="auto"/>
        <w:right w:val="none" w:sz="0" w:space="0" w:color="auto"/>
      </w:divBdr>
    </w:div>
    <w:div w:id="1851333317">
      <w:bodyDiv w:val="1"/>
      <w:marLeft w:val="0"/>
      <w:marRight w:val="0"/>
      <w:marTop w:val="0"/>
      <w:marBottom w:val="0"/>
      <w:divBdr>
        <w:top w:val="none" w:sz="0" w:space="0" w:color="auto"/>
        <w:left w:val="none" w:sz="0" w:space="0" w:color="auto"/>
        <w:bottom w:val="none" w:sz="0" w:space="0" w:color="auto"/>
        <w:right w:val="none" w:sz="0" w:space="0" w:color="auto"/>
      </w:divBdr>
    </w:div>
    <w:div w:id="1851407915">
      <w:bodyDiv w:val="1"/>
      <w:marLeft w:val="0"/>
      <w:marRight w:val="0"/>
      <w:marTop w:val="0"/>
      <w:marBottom w:val="0"/>
      <w:divBdr>
        <w:top w:val="none" w:sz="0" w:space="0" w:color="auto"/>
        <w:left w:val="none" w:sz="0" w:space="0" w:color="auto"/>
        <w:bottom w:val="none" w:sz="0" w:space="0" w:color="auto"/>
        <w:right w:val="none" w:sz="0" w:space="0" w:color="auto"/>
      </w:divBdr>
    </w:div>
    <w:div w:id="1852521416">
      <w:bodyDiv w:val="1"/>
      <w:marLeft w:val="0"/>
      <w:marRight w:val="0"/>
      <w:marTop w:val="0"/>
      <w:marBottom w:val="0"/>
      <w:divBdr>
        <w:top w:val="none" w:sz="0" w:space="0" w:color="auto"/>
        <w:left w:val="none" w:sz="0" w:space="0" w:color="auto"/>
        <w:bottom w:val="none" w:sz="0" w:space="0" w:color="auto"/>
        <w:right w:val="none" w:sz="0" w:space="0" w:color="auto"/>
      </w:divBdr>
    </w:div>
    <w:div w:id="1857038090">
      <w:bodyDiv w:val="1"/>
      <w:marLeft w:val="0"/>
      <w:marRight w:val="0"/>
      <w:marTop w:val="0"/>
      <w:marBottom w:val="0"/>
      <w:divBdr>
        <w:top w:val="none" w:sz="0" w:space="0" w:color="auto"/>
        <w:left w:val="none" w:sz="0" w:space="0" w:color="auto"/>
        <w:bottom w:val="none" w:sz="0" w:space="0" w:color="auto"/>
        <w:right w:val="none" w:sz="0" w:space="0" w:color="auto"/>
      </w:divBdr>
    </w:div>
    <w:div w:id="1866867985">
      <w:bodyDiv w:val="1"/>
      <w:marLeft w:val="0"/>
      <w:marRight w:val="0"/>
      <w:marTop w:val="0"/>
      <w:marBottom w:val="0"/>
      <w:divBdr>
        <w:top w:val="none" w:sz="0" w:space="0" w:color="auto"/>
        <w:left w:val="none" w:sz="0" w:space="0" w:color="auto"/>
        <w:bottom w:val="none" w:sz="0" w:space="0" w:color="auto"/>
        <w:right w:val="none" w:sz="0" w:space="0" w:color="auto"/>
      </w:divBdr>
    </w:div>
    <w:div w:id="1876388575">
      <w:bodyDiv w:val="1"/>
      <w:marLeft w:val="0"/>
      <w:marRight w:val="0"/>
      <w:marTop w:val="0"/>
      <w:marBottom w:val="0"/>
      <w:divBdr>
        <w:top w:val="none" w:sz="0" w:space="0" w:color="auto"/>
        <w:left w:val="none" w:sz="0" w:space="0" w:color="auto"/>
        <w:bottom w:val="none" w:sz="0" w:space="0" w:color="auto"/>
        <w:right w:val="none" w:sz="0" w:space="0" w:color="auto"/>
      </w:divBdr>
    </w:div>
    <w:div w:id="1914775951">
      <w:bodyDiv w:val="1"/>
      <w:marLeft w:val="0"/>
      <w:marRight w:val="0"/>
      <w:marTop w:val="0"/>
      <w:marBottom w:val="0"/>
      <w:divBdr>
        <w:top w:val="none" w:sz="0" w:space="0" w:color="auto"/>
        <w:left w:val="none" w:sz="0" w:space="0" w:color="auto"/>
        <w:bottom w:val="none" w:sz="0" w:space="0" w:color="auto"/>
        <w:right w:val="none" w:sz="0" w:space="0" w:color="auto"/>
      </w:divBdr>
    </w:div>
    <w:div w:id="1928810681">
      <w:bodyDiv w:val="1"/>
      <w:marLeft w:val="0"/>
      <w:marRight w:val="0"/>
      <w:marTop w:val="0"/>
      <w:marBottom w:val="0"/>
      <w:divBdr>
        <w:top w:val="none" w:sz="0" w:space="0" w:color="auto"/>
        <w:left w:val="none" w:sz="0" w:space="0" w:color="auto"/>
        <w:bottom w:val="none" w:sz="0" w:space="0" w:color="auto"/>
        <w:right w:val="none" w:sz="0" w:space="0" w:color="auto"/>
      </w:divBdr>
    </w:div>
    <w:div w:id="1949658146">
      <w:bodyDiv w:val="1"/>
      <w:marLeft w:val="0"/>
      <w:marRight w:val="0"/>
      <w:marTop w:val="0"/>
      <w:marBottom w:val="0"/>
      <w:divBdr>
        <w:top w:val="none" w:sz="0" w:space="0" w:color="auto"/>
        <w:left w:val="none" w:sz="0" w:space="0" w:color="auto"/>
        <w:bottom w:val="none" w:sz="0" w:space="0" w:color="auto"/>
        <w:right w:val="none" w:sz="0" w:space="0" w:color="auto"/>
      </w:divBdr>
    </w:div>
    <w:div w:id="1960254457">
      <w:bodyDiv w:val="1"/>
      <w:marLeft w:val="0"/>
      <w:marRight w:val="0"/>
      <w:marTop w:val="0"/>
      <w:marBottom w:val="0"/>
      <w:divBdr>
        <w:top w:val="none" w:sz="0" w:space="0" w:color="auto"/>
        <w:left w:val="none" w:sz="0" w:space="0" w:color="auto"/>
        <w:bottom w:val="none" w:sz="0" w:space="0" w:color="auto"/>
        <w:right w:val="none" w:sz="0" w:space="0" w:color="auto"/>
      </w:divBdr>
    </w:div>
    <w:div w:id="1969046954">
      <w:bodyDiv w:val="1"/>
      <w:marLeft w:val="0"/>
      <w:marRight w:val="0"/>
      <w:marTop w:val="0"/>
      <w:marBottom w:val="0"/>
      <w:divBdr>
        <w:top w:val="none" w:sz="0" w:space="0" w:color="auto"/>
        <w:left w:val="none" w:sz="0" w:space="0" w:color="auto"/>
        <w:bottom w:val="none" w:sz="0" w:space="0" w:color="auto"/>
        <w:right w:val="none" w:sz="0" w:space="0" w:color="auto"/>
      </w:divBdr>
    </w:div>
    <w:div w:id="1989506456">
      <w:bodyDiv w:val="1"/>
      <w:marLeft w:val="0"/>
      <w:marRight w:val="0"/>
      <w:marTop w:val="0"/>
      <w:marBottom w:val="0"/>
      <w:divBdr>
        <w:top w:val="none" w:sz="0" w:space="0" w:color="auto"/>
        <w:left w:val="none" w:sz="0" w:space="0" w:color="auto"/>
        <w:bottom w:val="none" w:sz="0" w:space="0" w:color="auto"/>
        <w:right w:val="none" w:sz="0" w:space="0" w:color="auto"/>
      </w:divBdr>
    </w:div>
    <w:div w:id="2004888213">
      <w:bodyDiv w:val="1"/>
      <w:marLeft w:val="0"/>
      <w:marRight w:val="0"/>
      <w:marTop w:val="0"/>
      <w:marBottom w:val="0"/>
      <w:divBdr>
        <w:top w:val="none" w:sz="0" w:space="0" w:color="auto"/>
        <w:left w:val="none" w:sz="0" w:space="0" w:color="auto"/>
        <w:bottom w:val="none" w:sz="0" w:space="0" w:color="auto"/>
        <w:right w:val="none" w:sz="0" w:space="0" w:color="auto"/>
      </w:divBdr>
    </w:div>
    <w:div w:id="2007243509">
      <w:bodyDiv w:val="1"/>
      <w:marLeft w:val="0"/>
      <w:marRight w:val="0"/>
      <w:marTop w:val="0"/>
      <w:marBottom w:val="0"/>
      <w:divBdr>
        <w:top w:val="none" w:sz="0" w:space="0" w:color="auto"/>
        <w:left w:val="none" w:sz="0" w:space="0" w:color="auto"/>
        <w:bottom w:val="none" w:sz="0" w:space="0" w:color="auto"/>
        <w:right w:val="none" w:sz="0" w:space="0" w:color="auto"/>
      </w:divBdr>
    </w:div>
    <w:div w:id="2014867616">
      <w:bodyDiv w:val="1"/>
      <w:marLeft w:val="0"/>
      <w:marRight w:val="0"/>
      <w:marTop w:val="0"/>
      <w:marBottom w:val="0"/>
      <w:divBdr>
        <w:top w:val="none" w:sz="0" w:space="0" w:color="auto"/>
        <w:left w:val="none" w:sz="0" w:space="0" w:color="auto"/>
        <w:bottom w:val="none" w:sz="0" w:space="0" w:color="auto"/>
        <w:right w:val="none" w:sz="0" w:space="0" w:color="auto"/>
      </w:divBdr>
    </w:div>
    <w:div w:id="2016220770">
      <w:bodyDiv w:val="1"/>
      <w:marLeft w:val="0"/>
      <w:marRight w:val="0"/>
      <w:marTop w:val="0"/>
      <w:marBottom w:val="0"/>
      <w:divBdr>
        <w:top w:val="none" w:sz="0" w:space="0" w:color="auto"/>
        <w:left w:val="none" w:sz="0" w:space="0" w:color="auto"/>
        <w:bottom w:val="none" w:sz="0" w:space="0" w:color="auto"/>
        <w:right w:val="none" w:sz="0" w:space="0" w:color="auto"/>
      </w:divBdr>
    </w:div>
    <w:div w:id="2032947380">
      <w:bodyDiv w:val="1"/>
      <w:marLeft w:val="0"/>
      <w:marRight w:val="0"/>
      <w:marTop w:val="0"/>
      <w:marBottom w:val="0"/>
      <w:divBdr>
        <w:top w:val="none" w:sz="0" w:space="0" w:color="auto"/>
        <w:left w:val="none" w:sz="0" w:space="0" w:color="auto"/>
        <w:bottom w:val="none" w:sz="0" w:space="0" w:color="auto"/>
        <w:right w:val="none" w:sz="0" w:space="0" w:color="auto"/>
      </w:divBdr>
    </w:div>
    <w:div w:id="2036075496">
      <w:bodyDiv w:val="1"/>
      <w:marLeft w:val="0"/>
      <w:marRight w:val="0"/>
      <w:marTop w:val="0"/>
      <w:marBottom w:val="0"/>
      <w:divBdr>
        <w:top w:val="none" w:sz="0" w:space="0" w:color="auto"/>
        <w:left w:val="none" w:sz="0" w:space="0" w:color="auto"/>
        <w:bottom w:val="none" w:sz="0" w:space="0" w:color="auto"/>
        <w:right w:val="none" w:sz="0" w:space="0" w:color="auto"/>
      </w:divBdr>
    </w:div>
    <w:div w:id="2044789968">
      <w:bodyDiv w:val="1"/>
      <w:marLeft w:val="0"/>
      <w:marRight w:val="0"/>
      <w:marTop w:val="0"/>
      <w:marBottom w:val="0"/>
      <w:divBdr>
        <w:top w:val="none" w:sz="0" w:space="0" w:color="auto"/>
        <w:left w:val="none" w:sz="0" w:space="0" w:color="auto"/>
        <w:bottom w:val="none" w:sz="0" w:space="0" w:color="auto"/>
        <w:right w:val="none" w:sz="0" w:space="0" w:color="auto"/>
      </w:divBdr>
    </w:div>
    <w:div w:id="2052461415">
      <w:bodyDiv w:val="1"/>
      <w:marLeft w:val="0"/>
      <w:marRight w:val="0"/>
      <w:marTop w:val="0"/>
      <w:marBottom w:val="0"/>
      <w:divBdr>
        <w:top w:val="none" w:sz="0" w:space="0" w:color="auto"/>
        <w:left w:val="none" w:sz="0" w:space="0" w:color="auto"/>
        <w:bottom w:val="none" w:sz="0" w:space="0" w:color="auto"/>
        <w:right w:val="none" w:sz="0" w:space="0" w:color="auto"/>
      </w:divBdr>
    </w:div>
    <w:div w:id="2071347413">
      <w:bodyDiv w:val="1"/>
      <w:marLeft w:val="0"/>
      <w:marRight w:val="0"/>
      <w:marTop w:val="0"/>
      <w:marBottom w:val="0"/>
      <w:divBdr>
        <w:top w:val="none" w:sz="0" w:space="0" w:color="auto"/>
        <w:left w:val="none" w:sz="0" w:space="0" w:color="auto"/>
        <w:bottom w:val="none" w:sz="0" w:space="0" w:color="auto"/>
        <w:right w:val="none" w:sz="0" w:space="0" w:color="auto"/>
      </w:divBdr>
    </w:div>
    <w:div w:id="2072922801">
      <w:bodyDiv w:val="1"/>
      <w:marLeft w:val="0"/>
      <w:marRight w:val="0"/>
      <w:marTop w:val="0"/>
      <w:marBottom w:val="0"/>
      <w:divBdr>
        <w:top w:val="none" w:sz="0" w:space="0" w:color="auto"/>
        <w:left w:val="none" w:sz="0" w:space="0" w:color="auto"/>
        <w:bottom w:val="none" w:sz="0" w:space="0" w:color="auto"/>
        <w:right w:val="none" w:sz="0" w:space="0" w:color="auto"/>
      </w:divBdr>
    </w:div>
    <w:div w:id="2080706940">
      <w:bodyDiv w:val="1"/>
      <w:marLeft w:val="0"/>
      <w:marRight w:val="0"/>
      <w:marTop w:val="0"/>
      <w:marBottom w:val="0"/>
      <w:divBdr>
        <w:top w:val="none" w:sz="0" w:space="0" w:color="auto"/>
        <w:left w:val="none" w:sz="0" w:space="0" w:color="auto"/>
        <w:bottom w:val="none" w:sz="0" w:space="0" w:color="auto"/>
        <w:right w:val="none" w:sz="0" w:space="0" w:color="auto"/>
      </w:divBdr>
    </w:div>
    <w:div w:id="2088962262">
      <w:bodyDiv w:val="1"/>
      <w:marLeft w:val="0"/>
      <w:marRight w:val="0"/>
      <w:marTop w:val="0"/>
      <w:marBottom w:val="0"/>
      <w:divBdr>
        <w:top w:val="none" w:sz="0" w:space="0" w:color="auto"/>
        <w:left w:val="none" w:sz="0" w:space="0" w:color="auto"/>
        <w:bottom w:val="none" w:sz="0" w:space="0" w:color="auto"/>
        <w:right w:val="none" w:sz="0" w:space="0" w:color="auto"/>
      </w:divBdr>
    </w:div>
    <w:div w:id="2104957332">
      <w:bodyDiv w:val="1"/>
      <w:marLeft w:val="0"/>
      <w:marRight w:val="0"/>
      <w:marTop w:val="0"/>
      <w:marBottom w:val="0"/>
      <w:divBdr>
        <w:top w:val="none" w:sz="0" w:space="0" w:color="auto"/>
        <w:left w:val="none" w:sz="0" w:space="0" w:color="auto"/>
        <w:bottom w:val="none" w:sz="0" w:space="0" w:color="auto"/>
        <w:right w:val="none" w:sz="0" w:space="0" w:color="auto"/>
      </w:divBdr>
    </w:div>
    <w:div w:id="213779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ingartek.com"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info@ingartek.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3.xml"/><Relationship Id="rId25" Type="http://schemas.openxmlformats.org/officeDocument/2006/relationships/header" Target="header4.xml"/><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si/Library/CloudStorage/GoogleDrive-arrieta@ingartek.com/Mi%20unidad/PLANTILLAS/Plantilla_Ingartek_2024_v1.1.dotx" TargetMode="External"/></Relationships>
</file>

<file path=word/theme/theme1.xml><?xml version="1.0" encoding="utf-8"?>
<a:theme xmlns:a="http://schemas.openxmlformats.org/drawingml/2006/main" name="Tema_Inetum">
  <a:themeElements>
    <a:clrScheme name="Ingartek">
      <a:dk1>
        <a:sysClr val="windowText" lastClr="000000"/>
      </a:dk1>
      <a:lt1>
        <a:sysClr val="window" lastClr="FFFFFF"/>
      </a:lt1>
      <a:dk2>
        <a:srgbClr val="EDEDED"/>
      </a:dk2>
      <a:lt2>
        <a:srgbClr val="232D4B"/>
      </a:lt2>
      <a:accent1>
        <a:srgbClr val="00AA9B"/>
      </a:accent1>
      <a:accent2>
        <a:srgbClr val="F04641"/>
      </a:accent2>
      <a:accent3>
        <a:srgbClr val="005573"/>
      </a:accent3>
      <a:accent4>
        <a:srgbClr val="8064A2"/>
      </a:accent4>
      <a:accent5>
        <a:srgbClr val="4BACC6"/>
      </a:accent5>
      <a:accent6>
        <a:srgbClr val="F79646"/>
      </a:accent6>
      <a:hlink>
        <a:srgbClr val="EF4641"/>
      </a:hlink>
      <a:folHlink>
        <a:srgbClr val="EF46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ema_Inetum" id="{03196F14-0A36-46BD-8C65-67782EB250B9}" vid="{D9C13F16-E913-4E45-9BEF-8481659931B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6B8E6A6536514A93B04258F69FE8EE" ma:contentTypeVersion="17" ma:contentTypeDescription="Crear nuevo documento." ma:contentTypeScope="" ma:versionID="b62f4a1e611e786889796afebd0a4922">
  <xsd:schema xmlns:xsd="http://www.w3.org/2001/XMLSchema" xmlns:xs="http://www.w3.org/2001/XMLSchema" xmlns:p="http://schemas.microsoft.com/office/2006/metadata/properties" xmlns:ns2="9f710339-6fd0-479d-adde-633ce55f6750" xmlns:ns3="256e0986-4ef6-476b-84fa-4e2a8e53eea7" xmlns:ns4="d65a72c7-7e11-44a4-8e3c-315ae3158d34" targetNamespace="http://schemas.microsoft.com/office/2006/metadata/properties" ma:root="true" ma:fieldsID="51a3d8c20763e84790958b0326c64fbc" ns2:_="" ns3:_="" ns4:_="">
    <xsd:import namespace="9f710339-6fd0-479d-adde-633ce55f6750"/>
    <xsd:import namespace="256e0986-4ef6-476b-84fa-4e2a8e53eea7"/>
    <xsd:import namespace="d65a72c7-7e11-44a4-8e3c-315ae3158d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Hiperv_x00ed_nculo"/>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10339-6fd0-479d-adde-633ce55f6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dece1a9e-e829-42a2-80ca-4303f8678de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Hiperv_x00ed_nculo" ma:index="23" ma:displayName="Hipervínculo" ma:format="Hyperlink" ma:internalName="Hiperv_x00ed_nculo">
      <xsd:complexType>
        <xsd:complexContent>
          <xsd:extension base="dms:URL">
            <xsd:sequence>
              <xsd:element name="Url" type="dms:ValidUrl"/>
              <xsd:element name="Description" type="xsd:string"/>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6e0986-4ef6-476b-84fa-4e2a8e53eea7"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a72c7-7e11-44a4-8e3c-315ae3158d3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7bebbec-c1bd-43c8-a5df-fd793d1fa289}" ma:internalName="TaxCatchAll" ma:showField="CatchAllData" ma:web="256e0986-4ef6-476b-84fa-4e2a8e53e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710339-6fd0-479d-adde-633ce55f6750">
      <Terms xmlns="http://schemas.microsoft.com/office/infopath/2007/PartnerControls"/>
    </lcf76f155ced4ddcb4097134ff3c332f>
    <TaxCatchAll xmlns="d65a72c7-7e11-44a4-8e3c-315ae3158d34" xsi:nil="true"/>
    <Hiperv_x00ed_nculo xmlns="9f710339-6fd0-479d-adde-633ce55f6750">
      <Url/>
      <Description/>
    </Hiperv_x00ed_ncul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5F985-A42E-4BC4-9C7D-7F70DDFD7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10339-6fd0-479d-adde-633ce55f6750"/>
    <ds:schemaRef ds:uri="256e0986-4ef6-476b-84fa-4e2a8e53eea7"/>
    <ds:schemaRef ds:uri="d65a72c7-7e11-44a4-8e3c-315ae3158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D56F9-8120-454E-AED7-B40D11C814EF}">
  <ds:schemaRefs>
    <ds:schemaRef ds:uri="http://schemas.microsoft.com/office/2006/metadata/properties"/>
    <ds:schemaRef ds:uri="http://schemas.microsoft.com/office/infopath/2007/PartnerControls"/>
    <ds:schemaRef ds:uri="9f710339-6fd0-479d-adde-633ce55f6750"/>
    <ds:schemaRef ds:uri="d65a72c7-7e11-44a4-8e3c-315ae3158d34"/>
  </ds:schemaRefs>
</ds:datastoreItem>
</file>

<file path=customXml/itemProps3.xml><?xml version="1.0" encoding="utf-8"?>
<ds:datastoreItem xmlns:ds="http://schemas.openxmlformats.org/officeDocument/2006/customXml" ds:itemID="{CCB41FFA-407F-7641-B75D-CDA799165266}">
  <ds:schemaRefs>
    <ds:schemaRef ds:uri="http://schemas.openxmlformats.org/officeDocument/2006/bibliography"/>
  </ds:schemaRefs>
</ds:datastoreItem>
</file>

<file path=customXml/itemProps4.xml><?xml version="1.0" encoding="utf-8"?>
<ds:datastoreItem xmlns:ds="http://schemas.openxmlformats.org/officeDocument/2006/customXml" ds:itemID="{869928C1-CD69-436F-BB50-13065B3B75D8}">
  <ds:schemaRefs>
    <ds:schemaRef ds:uri="http://schemas.microsoft.com/sharepoint/v3/contenttype/forms"/>
  </ds:schemaRefs>
</ds:datastoreItem>
</file>

<file path=docMetadata/LabelInfo.xml><?xml version="1.0" encoding="utf-8"?>
<clbl:labelList xmlns:clbl="http://schemas.microsoft.com/office/2020/mipLabelMetadata">
  <clbl:label id="{6c04a875-6eb2-484b-a14b-e2519851b720}" enabled="1" method="Standard" siteId="{14cb4ab4-62b8-45a2-a944-e225383ee1f9}" contentBits="0" removed="0"/>
</clbl:labelList>
</file>

<file path=docProps/app.xml><?xml version="1.0" encoding="utf-8"?>
<Properties xmlns="http://schemas.openxmlformats.org/officeDocument/2006/extended-properties" xmlns:vt="http://schemas.openxmlformats.org/officeDocument/2006/docPropsVTypes">
  <Template>Plantilla_Ingartek_2024_v1.1.dotx</Template>
  <TotalTime>12</TotalTime>
  <Pages>9</Pages>
  <Words>2102</Words>
  <Characters>11566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Oferta EDIM Ready Vila-real</vt:lpstr>
    </vt:vector>
  </TitlesOfParts>
  <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EDIM Ready Vila-real</dc:title>
  <dc:subject>Asistencia técnica para revisión normativa, diagnóstico de movilidad y preparación para EDIM</dc:subject>
  <dc:creator>Isidro Arrieta Amilibia</dc:creator>
  <cp:keywords/>
  <dc:description/>
  <cp:lastModifiedBy>Isidro Arrieta</cp:lastModifiedBy>
  <cp:revision>5</cp:revision>
  <cp:lastPrinted>2026-05-22T13:06:00Z</cp:lastPrinted>
  <dcterms:created xsi:type="dcterms:W3CDTF">2026-05-22T13:06:00Z</dcterms:created>
  <dcterms:modified xsi:type="dcterms:W3CDTF">2026-05-25T11:45:00Z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04a875-6eb2-484b-a14b-e2519851b720_Enabled">
    <vt:lpwstr>true</vt:lpwstr>
  </property>
  <property fmtid="{D5CDD505-2E9C-101B-9397-08002B2CF9AE}" pid="3" name="MSIP_Label_6c04a875-6eb2-484b-a14b-e2519851b720_SetDate">
    <vt:lpwstr>2023-01-27T09:46:29Z</vt:lpwstr>
  </property>
  <property fmtid="{D5CDD505-2E9C-101B-9397-08002B2CF9AE}" pid="4" name="MSIP_Label_6c04a875-6eb2-484b-a14b-e2519851b720_Method">
    <vt:lpwstr>Standard</vt:lpwstr>
  </property>
  <property fmtid="{D5CDD505-2E9C-101B-9397-08002B2CF9AE}" pid="5" name="MSIP_Label_6c04a875-6eb2-484b-a14b-e2519851b720_Name">
    <vt:lpwstr>External</vt:lpwstr>
  </property>
  <property fmtid="{D5CDD505-2E9C-101B-9397-08002B2CF9AE}" pid="6" name="MSIP_Label_6c04a875-6eb2-484b-a14b-e2519851b720_SiteId">
    <vt:lpwstr>14cb4ab4-62b8-45a2-a944-e225383ee1f9</vt:lpwstr>
  </property>
  <property fmtid="{D5CDD505-2E9C-101B-9397-08002B2CF9AE}" pid="7" name="MSIP_Label_6c04a875-6eb2-484b-a14b-e2519851b720_ActionId">
    <vt:lpwstr>9ba418fa-c710-45c7-8519-7a3e9989faf4</vt:lpwstr>
  </property>
  <property fmtid="{D5CDD505-2E9C-101B-9397-08002B2CF9AE}" pid="8" name="MSIP_Label_6c04a875-6eb2-484b-a14b-e2519851b720_ContentBits">
    <vt:lpwstr>0</vt:lpwstr>
  </property>
  <property fmtid="{D5CDD505-2E9C-101B-9397-08002B2CF9AE}" pid="9" name="ContentTypeId">
    <vt:lpwstr>0x0101007D6B8E6A6536514A93B04258F69FE8EE</vt:lpwstr>
  </property>
  <property fmtid="{D5CDD505-2E9C-101B-9397-08002B2CF9AE}" pid="10" name="Fecha">
    <vt:lpwstr>2023-06-14T18:12:44Z</vt:lpwstr>
  </property>
</Properties>
</file>